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Burke Mary Lou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BRIGHT HORIZONS FAMILY SOLUTIONS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WELLS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BRIGHT HORIZONS FAMILY SOLUTIONS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BFAM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 North America Center Ops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12"/>
        <w:gridCol w:w="780"/>
        <w:gridCol w:w="606"/>
        <w:gridCol w:w="351"/>
        <w:gridCol w:w="808"/>
        <w:gridCol w:w="456"/>
        <w:gridCol w:w="620"/>
        <w:gridCol w:w="1170"/>
        <w:gridCol w:w="1004"/>
        <w:gridCol w:w="11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33,345</w:t>
            </w:r>
          </w:p>
        </w:tc>
        <w:tc>
          <w:tcPr>
            <w:tcW w:w="10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1,320</w:t>
            </w:r>
          </w:p>
        </w:tc>
        <w:tc>
          <w:tcPr>
            <w:tcW w:w="10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Custodian for daughter</w:t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1,320</w:t>
            </w:r>
          </w:p>
        </w:tc>
        <w:tc>
          <w:tcPr>
            <w:tcW w:w="10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Custodian for daughter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trading plan intended to comply with Rule 10b5-1(c) previously adopted by this Reporting Person on March 10,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Casagrande, as attorney in fact for Mary Lou Burke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1892" TargetMode="External"/><Relationship Id="rId5" Type="http://schemas.openxmlformats.org/officeDocument/2006/relationships/hyperlink" Target="http://www.sec.gov/cgi-bin/browse-edgar?action=getcompany&amp;CIK=00014375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3350</Characters>
  <CharactersWithSpaces>3895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