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955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9334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BRIGHT HORIZONS FAMILY SOLUTIONS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76"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343"/>
        <w:gridCol w:w="343"/>
        <w:gridCol w:w="348"/>
        <w:gridCol w:w="109"/>
        <w:gridCol w:w="109"/>
        <w:gridCol w:w="109"/>
        <w:gridCol w:w="512"/>
        <w:gridCol w:w="512"/>
        <w:gridCol w:w="730"/>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80-0188269</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tbl>
      <w:tblPr>
        <w:tblW w:w="4727" w:type="dxa"/>
        <w:jc w:val="center"/>
        <w:tblInd w:w="0" w:type="dxa"/>
        <w:tblLayout w:type="fixed"/>
        <w:tblCellMar>
          <w:top w:w="28" w:type="dxa"/>
          <w:left w:w="28" w:type="dxa"/>
          <w:bottom w:w="28" w:type="dxa"/>
          <w:right w:w="28" w:type="dxa"/>
        </w:tblCellMar>
      </w:tblPr>
      <w:tblGrid>
        <w:gridCol w:w="530"/>
        <w:gridCol w:w="465"/>
        <w:gridCol w:w="465"/>
        <w:gridCol w:w="465"/>
        <w:gridCol w:w="465"/>
        <w:gridCol w:w="472"/>
        <w:gridCol w:w="109"/>
        <w:gridCol w:w="109"/>
        <w:gridCol w:w="109"/>
        <w:gridCol w:w="109"/>
        <w:gridCol w:w="109"/>
        <w:gridCol w:w="109"/>
        <w:gridCol w:w="109"/>
        <w:gridCol w:w="109"/>
        <w:gridCol w:w="109"/>
        <w:gridCol w:w="259"/>
        <w:gridCol w:w="259"/>
        <w:gridCol w:w="366"/>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 Wells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02459</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6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(617) 673-8000 </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1" w:type="dxa"/>
        <w:jc w:val="center"/>
        <w:tblInd w:w="0" w:type="dxa"/>
        <w:tblLayout w:type="fixed"/>
        <w:tblCellMar>
          <w:top w:w="28" w:type="dxa"/>
          <w:left w:w="28" w:type="dxa"/>
          <w:bottom w:w="28" w:type="dxa"/>
          <w:right w:w="28" w:type="dxa"/>
        </w:tblCellMar>
      </w:tblPr>
      <w:tblGrid>
        <w:gridCol w:w="1301"/>
        <w:gridCol w:w="1141"/>
        <w:gridCol w:w="1157"/>
        <w:gridCol w:w="109"/>
        <w:gridCol w:w="109"/>
        <w:gridCol w:w="109"/>
        <w:gridCol w:w="484"/>
        <w:gridCol w:w="484"/>
        <w:gridCol w:w="486"/>
        <w:gridCol w:w="109"/>
        <w:gridCol w:w="109"/>
        <w:gridCol w:w="109"/>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BFAM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30, 2026, Bright Horizons Family Solutions Inc. issued a press release announcing its financial results for the fiscal quarter ended June 30, 2026 and updated financial guidance for the year 2026. A copy of the press release is furnished as Exhibit 99.1 hereto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including Exhibit 99.1 attached hereto, is being furnished and shall not be deemed “filed” for any purpose of Section 18 of the Securities Exchange Act of 1934, as amended, or otherwise subject to the liabilities of that Section, and shall not be deemed incorporated by reference in any filing under the Securities Act of 1933, as amended, regardless of any general incorporation language in any such filing.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Any website addresses included herein are inactive textual references only. The information contained on any such website referenced herein is not incorporated into this Current Report on Form 8-K. Important information may be disseminated initially or exclusively via the Company’s Investor Relations website; investors should consult the site to access this information.</w:t>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745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41"/>
        <w:gridCol w:w="1941"/>
        <w:gridCol w:w="276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fam-063026xex991.htm">
              <w:r>
                <w:rPr>
                  <w:rStyle w:val="InternetLink"/>
                  <w:rFonts w:ascii="Times New Roman;serif" w:hAnsi="Times New Roman;serif"/>
                  <w:b w:val="false"/>
                  <w:color w:val="000080"/>
                  <w:sz w:val="20"/>
                  <w:u w:val="single"/>
                </w:rPr>
                <w:t xml:space="preserve">Press Release of Bright Horizons Family Solutions Inc. dated </w:t>
              </w:r>
            </w:hyperlink>
            <w:hyperlink w:anchor="bfam-063026xex991.htm">
              <w:r>
                <w:rPr>
                  <w:rStyle w:val="InternetLink"/>
                  <w:rFonts w:ascii="Times New Roman;serif" w:hAnsi="Times New Roman;serif"/>
                  <w:b w:val="false"/>
                  <w:color w:val="000080"/>
                  <w:sz w:val="20"/>
                  <w:u w:val="single"/>
                </w:rPr>
                <w:t>July 30</w:t>
              </w:r>
            </w:hyperlink>
            <w:hyperlink w:anchor="bfam-063026xex991.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92" w:type="dxa"/>
        <w:jc w:val="center"/>
        <w:tblInd w:w="0" w:type="dxa"/>
        <w:tblLayout w:type="fixed"/>
        <w:tblCellMar>
          <w:top w:w="28" w:type="dxa"/>
          <w:left w:w="28" w:type="dxa"/>
          <w:bottom w:w="28" w:type="dxa"/>
          <w:right w:w="28" w:type="dxa"/>
        </w:tblCellMar>
      </w:tblPr>
      <w:tblGrid>
        <w:gridCol w:w="403"/>
        <w:gridCol w:w="355"/>
        <w:gridCol w:w="355"/>
        <w:gridCol w:w="405"/>
        <w:gridCol w:w="405"/>
        <w:gridCol w:w="405"/>
        <w:gridCol w:w="355"/>
        <w:gridCol w:w="355"/>
        <w:gridCol w:w="355"/>
        <w:gridCol w:w="615"/>
        <w:gridCol w:w="615"/>
        <w:gridCol w:w="869"/>
      </w:tblGrid>
      <w:tr>
        <w:trPr/>
        <w:tc>
          <w:tcPr>
            <w:tcW w:w="40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4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BRIGHT HORIZONS FAMILY SOLUTIONS INC.</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Boland</w:t>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Boland</w:t>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24"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Bright Horizons Family Solutions Reports Financial Results for the Second Quarter of 2026</w:t>
      </w:r>
    </w:p>
    <w:p>
      <w:pPr>
        <w:pStyle w:val="TextBody"/>
        <w:bidi w:val="0"/>
        <w:spacing w:lineRule="auto" w:line="288" w:before="240" w:after="180"/>
        <w:jc w:val="left"/>
        <w:rPr/>
      </w:pPr>
      <w:r>
        <w:rPr>
          <w:rFonts w:ascii="Times New Roman;serif" w:hAnsi="Times New Roman;serif"/>
          <w:b w:val="false"/>
          <w:color w:val="000000"/>
          <w:sz w:val="20"/>
        </w:rPr>
        <w:t>NEWTON, MA - (BUSINESS WIRE) - July 30, 2026 - Bright Horizons Family Solutions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Inc. (NYSE: BFAM) today announced financial results for the second quarter of 2026 and provided updated financial guidance for 2026. Bright Horizons is a leading provider of high-quality early education and child care, comprehensive back-up care solutions, and educational advisory services. Our offerings support both working families and employers’ workforce strategies by supporting their employees across life and career stages, and improving employee recruitment, engagement, productivity, retention, and career advancement.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Second Quarter 2026 Highlights (compared to Second Quarter 2025):</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Revenue of $779 million (increase of 7%)</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Income from operations of $80 million (decrease of 7%)</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Net income of $41 million and diluted earnings per common share of $0.79 (decreases of 26% and 17%, respectively)</w:t>
      </w:r>
    </w:p>
    <w:p>
      <w:pPr>
        <w:pStyle w:val="TextBody"/>
        <w:bidi w:val="0"/>
        <w:spacing w:lineRule="auto" w:line="288" w:before="120" w:after="6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Non-GAAP financial measures</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Adjusted EBITDA* of $131 million (increase of 13%)</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Adjusted income from operations* of $99 million (increase of 15%)</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Adjusted net income* of $66 million and diluted adjusted earnings per common share* of $1.28 (increases of 8% and 20%, respectively)</w:t>
      </w:r>
    </w:p>
    <w:p>
      <w:pPr>
        <w:pStyle w:val="TextBody"/>
        <w:bidi w:val="0"/>
        <w:spacing w:lineRule="auto" w:line="288" w:before="300" w:after="300"/>
        <w:jc w:val="left"/>
        <w:rPr>
          <w:color w:val="000000"/>
        </w:rPr>
      </w:pPr>
      <w:r>
        <w:rPr>
          <w:color w:val="000000"/>
        </w:rPr>
        <w:t>“</w:t>
      </w:r>
      <w:r>
        <w:rPr>
          <w:rFonts w:ascii="Times New Roman;serif" w:hAnsi="Times New Roman;serif"/>
          <w:b w:val="false"/>
          <w:color w:val="000000"/>
          <w:sz w:val="20"/>
        </w:rPr>
        <w:t>Our second quarter performance was solid, with 7% revenue growth and 20% adjusted EPS growth,” said Stephen Kramer, Chief Executive Officer. “Back-up care revenue grew 19% as we entered the summer with strong utilization, while full service delivered another quarter of solid operating margin expansion. Our differentiated employer-centric model and singular focus on quality continue to drive strong financial results and position us to deepen our impact for the families and employers we serve.”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by $47.6 million, or 7%, to $779.2 million in the second quarter of 2026 from the second quarter of 2025, primarily due to growth in back-up care and full service center-based child care, partially offset by the reductions in revenue from centers that have closed over the last 12 months. </w:t>
      </w:r>
    </w:p>
    <w:p>
      <w:pPr>
        <w:pStyle w:val="TextBody"/>
        <w:bidi w:val="0"/>
        <w:spacing w:lineRule="auto" w:line="288" w:before="180" w:after="180"/>
        <w:jc w:val="left"/>
        <w:rPr/>
      </w:pPr>
      <w:r>
        <w:rPr>
          <w:rFonts w:ascii="Times New Roman;serif" w:hAnsi="Times New Roman;serif"/>
          <w:b w:val="false"/>
          <w:color w:val="000000"/>
          <w:sz w:val="20"/>
        </w:rPr>
        <w:t>Income from operations was $79.8 million for the second quarter of 2026 compared to $86.1 million for the second quarter of 2025, a decrease of 7%. The decrease in income from operations is primarily related to impairment losses of $19.1 million related to centers in certain markets, partially offset by increased service levels and contributions from our back-up care segment. Net income was $40.6 million for the second quarter of 2026 compared to $54.8 million for the second quarter of 2025, a decrease of 26%, due to the decrease in income from operations noted above, a higher effective tax rate and higher interest expense. Diluted earnings per common share was $0.79 for the second quarter of 2026 compared to $0.95 for the</w:t>
      </w:r>
      <w:r>
        <w:rPr>
          <w:color w:val="FF0000"/>
        </w:rPr>
        <w:t xml:space="preserve"> </w:t>
      </w:r>
      <w:r>
        <w:rPr>
          <w:rFonts w:ascii="Times New Roman;serif" w:hAnsi="Times New Roman;serif"/>
          <w:b w:val="false"/>
          <w:color w:val="000000"/>
          <w:sz w:val="20"/>
        </w:rPr>
        <w:t>second quarter of 2025.</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adjusted EBITDA* increased by $14.9 million, or 13%, to $130.6 million, and adjusted income from operations* increased by $12.9 million, or 15%, to $99.0 million from the second quarter of 2025, primarily due to increased service levels and contributions from the back-up care segment. Adjusted net income* was $66.3 million, an increase from adjusted net income of $61.5 million in the same period in the prior year, as a result of the increase in adjusted income from operations noted above partially offset by higher interest expense and an increase to the adjusted effective tax rate. Diluted adjusted earnings per common share* was $1.28 for the second quarter of 2026 compared to $1.07 for the second quarter of 2025.</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operated 988 early education and child care centers with the capacity to serve approximately 112,500 children and their families.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*Adjusted EBITDA, adjusted income from operations, adjusted net income and diluted adjusted earnings per common share are financial measures that are not calculated in accordance with generally accepted accounting principles in the United States (“GAAP”), which are commonly referred to as “non-GAAP financial measures.” Adjusted EBITDA represents EBITDA (which is net income, as determined in accordance with GAAP, before interest expense, income tax expense, depreciation, and amortization) adjusted to exclude stock-based compensation expense, impairment losses, and, at times, non-recurring costs, such as debt refinancing costs, lease termination costs, and transaction costs. Adjusted income from operations represents income from operations, as determined in accordance with GAAP, adjusted to exclude impairment losses, and, at times, non-recurring costs, such as debt refinancing costs, lease termination costs, and transaction costs. Adjusted net income represents net income, as determined in accordance with GAAP, adjusted to exclude amortization, stock-based compensation expense, impairment losses, debt refinancing costs and, at times, non-recurring costs, such as lease termination costs and transaction costs, and the income tax provision (benefit) thereon. Diluted adjusted earnings per common share is calculated using adjusted net income. These non-GAAP financial measures are more fully described and are reconciled from the respective measures determined under GAAP in “Presentation of Non-GAAP Financial Measures” and the attached table “Bright Horizons Family Solutions Inc. Non-GAAP Reconciliations,” respectively.</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$163.7 million of cash and cash equivalents and $520.1 million available for borrowing under our revolving credit facility. In the six months ended June 30, 2026, we generated $202.8 million of cash from operations, compared to $220.4 million for the same period in 2025, repurchased approximately 6.6 million shares totaling $473.2 million compared to approximately 0.5 million shares totaling $60.7 million for the same period in the prior year, and made net investments totaling $39.4 million, compared to $38.0 million for the same period in the prior year. On June 1, 2026, the Company amended its existing senior secured credit facilities to, among other changes, issue $375 million of a term loan A facility as well as increase the borrowing capacity of its revolving credit facility from $900 million to $1.0 billion.</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Based on current trends and expectations, we currently expect fiscal year 2026 revenue to be in the range of $3.085 billion to $3.115 billion and diluted adjusted earnings per common share to be in the range of $5.05 to $5.15. The Company will provide additional information on its outlook during its earnings conference call.</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120" w:after="180"/>
        <w:jc w:val="left"/>
        <w:rPr/>
      </w:pPr>
      <w:r>
        <w:rPr>
          <w:rFonts w:ascii="Times New Roman;serif" w:hAnsi="Times New Roman;serif"/>
          <w:b w:val="false"/>
          <w:color w:val="000000"/>
          <w:sz w:val="20"/>
        </w:rPr>
        <w:t xml:space="preserve">Bright Horizons Family Solutions will host an investor conference call today at 5:00 pm ET to discuss the results for the second quarter of 2026, as well as the Company’s updated business outlook and strategy. Interested parties are invited to listen to the conference call by dialing 1-844-539-3703, or for international callers, 1-412-652-1273, and asking for the Bright Horizons Family Solutions conference call moderated by Chief Executive Officer Stephen Kramer. Replays of the entire call will be available through August 13, 2026 at 1-844-512-2921, or for international callers, at 1-412-317-6671, conference ID #13758193. A link to the audio webcast of the conference call and a copy of this press release are also available through the Investor Relations section of the Company’s web site, </w:t>
      </w:r>
      <w:r>
        <w:rPr>
          <w:rFonts w:ascii="Times New Roman;serif" w:hAnsi="Times New Roman;serif"/>
          <w:b w:val="false"/>
          <w:i/>
          <w:color w:val="0000FF"/>
          <w:sz w:val="20"/>
          <w:u w:val="single"/>
        </w:rPr>
        <w:t>investors.brighthorizons.com</w:t>
      </w:r>
      <w:r>
        <w:rPr>
          <w:rFonts w:ascii="Times New Roman;serif" w:hAnsi="Times New Roman;serif"/>
          <w:b w:val="false"/>
          <w:color w:val="000000"/>
          <w:sz w:val="20"/>
        </w:rPr>
        <w: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forward looking statements within the meaning of Section 27A of the Securities Act of 1933, as amended, and Section 21E of the Securities Exchange Act of 1934, as amended. The Company’s actual results may vary significantly from the results anticipated in these forward-looking statements, which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including statements regarding the Company’s intentions, beliefs or current expectations concerning, among other things, our results of operations, financial condition, liquidity, operating expectations, execution and delivery of our services and solutions, our model, business trends, value and quality of our service offerings, market penetration, our future growth opportunities, enrollment levels and trends in jurisdictions, utilization of services, margins, back-up care contributions, our investments, long-term growth strategy, cash flows, estimated effective tax rate, tax expense, our future business and financial performance, client partners and relationships, use and impact of our services, share repurchase activity and our 2026 financial guidance. By their nature, forward-looking statements involve risks and uncertainties because they relate to events and depend on circumstances that may or may not occur in the future. The Company believes that these risks and uncertainties include, but are not limited to,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indebtedness and the terms of such indebtedness; our ability to withstand seasonal fluctuations in the demand for our services; our ability to implement our growth strategies successfully; our ability to close underperforming centers;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including as a result of recent incidents and media coverage; outcome of litigation, legal matters and regulatory investigations; insurance risks;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 These forward-looking statements speak only as of the time of this release and we do not undertake to publicly update or revise them, whether as a result of new information, future events or otherwise, except as required by law.</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Presentation of Non-GAAP Financial Measures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results provided in accordance with GAAP throughout this press release, the Company has provided certain non-GAAP financial measures that present operating results on a basis adjusted for certain items. The Company uses these non-GAAP financial measures as key performance indicators for the purpose of evaluating performance internally, and in connection with determining incentive compensation for Company management, including executive officers. Adjusted EBITDA is also used in connection with the determination of certain ratio requirements under our credit agreement. We believe that these non-GAAP financial measures provide investors with useful information with respect to our historical operations. These non-GAAP financial measures are not intended to replace, and should not be considered superior to, the presentation of our financial results in accordance with GAAP. The use of the terms adjusted EBITDA, adjusted income from operations, adjusted net income and diluted adjusted earnings per common share may differ from similar measures reported by other companies and may not be comparable to other similarly titled measures.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With respect to our outlook for diluted adjusted earnings per common share, we do not provide the most directly comparable GAAP financial measure or corresponding reconciliation to such GAAP financial measure on a forward-looking basis. We are unable to predict with reasonable certainty and without unreasonable effort certain items such as the timing and amount of net excess income tax benefits or shortfalls, future impairments, lease termination costs, transaction costs, and other non-recurring costs, as well as gains or losses from the early retirement of debt and the outcome from legal proceedings. These items are uncertain, depend on various factors outside our management’s control, and could significantly impact, either individually or in the aggregate, our future period earnings per common share as calculated and presented in accordance with GAAP.</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adjusted EBITDA, adjusted income from operations, adjusted net income and diluted adjusted earnings per common share, refer to the reconciliation of GAAP financial measures to the non-GAAP financial measures in the attached table “Bright Horizons Family Solutions Inc. Non-GAAP Reconciliations.”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About Bright Horizons Family Solutions Inc.</w:t>
      </w:r>
    </w:p>
    <w:p>
      <w:pPr>
        <w:pStyle w:val="TextBody"/>
        <w:bidi w:val="0"/>
        <w:spacing w:lineRule="auto" w:line="288" w:before="120" w:after="180"/>
        <w:jc w:val="left"/>
        <w:rPr/>
      </w:pPr>
      <w:r>
        <w:rPr>
          <w:rFonts w:ascii="Times New Roman;serif" w:hAnsi="Times New Roman;serif"/>
          <w:b w:val="false"/>
          <w:color w:val="000000"/>
          <w:sz w:val="20"/>
        </w:rPr>
        <w:t>Bright Horizons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a leading provider of high-quality early education and child care, back-up care, and workforce education services. For 40 years, we have partnered with employers to support workforces by providing services that help working families and employees thrive personally and professionally. Bright Horizons operates approximately 1,000 early education and child care centers in the United States, the United Kingdom, the Netherlands, Australia and India, and serves more than 1,450 of the world’s leading employers. Bright Horizons’ early education and child care centers, back-up child and elder care, and workforce education programs help employees succeed at each life and career stage. For more information, go to </w:t>
      </w:r>
      <w:r>
        <w:rPr>
          <w:rFonts w:ascii="Times New Roman;serif" w:hAnsi="Times New Roman;serif"/>
          <w:b w:val="false"/>
          <w:color w:val="0000FF"/>
          <w:sz w:val="20"/>
          <w:u w:val="single"/>
        </w:rPr>
        <w:t>www.brighthorizons.com</w:t>
      </w:r>
      <w:r>
        <w:rPr>
          <w:rFonts w:ascii="Times New Roman;serif" w:hAnsi="Times New Roman;serif"/>
          <w:b w:val="false"/>
          <w:color w:val="000000"/>
          <w:sz w:val="20"/>
        </w:rPr>
        <w: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Contacts:</w:t>
      </w:r>
    </w:p>
    <w:tbl>
      <w:tblPr>
        <w:tblW w:w="5348" w:type="dxa"/>
        <w:jc w:val="left"/>
        <w:tblInd w:w="0" w:type="dxa"/>
        <w:tblLayout w:type="fixed"/>
        <w:tblCellMar>
          <w:top w:w="28" w:type="dxa"/>
          <w:left w:w="28" w:type="dxa"/>
          <w:bottom w:w="28" w:type="dxa"/>
          <w:right w:w="28" w:type="dxa"/>
        </w:tblCellMar>
      </w:tblPr>
      <w:tblGrid>
        <w:gridCol w:w="166"/>
        <w:gridCol w:w="146"/>
        <w:gridCol w:w="146"/>
        <w:gridCol w:w="1419"/>
        <w:gridCol w:w="1419"/>
        <w:gridCol w:w="2052"/>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r>
      <w:tr>
        <w:trPr/>
        <w:tc>
          <w:tcPr>
            <w:tcW w:w="53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Boland</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eboland@brighthorizons.com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617-673-8125</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Flanagan</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Vice President - Strategic Finance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michael.flanagan@brighthorizons.com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617-673-8720</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Jordan Bertier</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 Investor Relations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jordan.bertier@brighthorizons.com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617-673-8192</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Ilene Serpa</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 Communications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iserpa@brighthorizons.com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617-673-8044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200" w:type="dxa"/>
        <w:jc w:val="center"/>
        <w:tblInd w:w="0" w:type="dxa"/>
        <w:tblLayout w:type="fixed"/>
        <w:tblCellMar>
          <w:top w:w="28" w:type="dxa"/>
          <w:left w:w="28" w:type="dxa"/>
          <w:bottom w:w="28" w:type="dxa"/>
          <w:right w:w="28" w:type="dxa"/>
        </w:tblCellMar>
      </w:tblPr>
      <w:tblGrid>
        <w:gridCol w:w="1432"/>
        <w:gridCol w:w="1261"/>
        <w:gridCol w:w="1267"/>
        <w:gridCol w:w="219"/>
        <w:gridCol w:w="877"/>
        <w:gridCol w:w="109"/>
        <w:gridCol w:w="109"/>
        <w:gridCol w:w="109"/>
        <w:gridCol w:w="109"/>
        <w:gridCol w:w="315"/>
        <w:gridCol w:w="316"/>
        <w:gridCol w:w="301"/>
        <w:gridCol w:w="109"/>
        <w:gridCol w:w="109"/>
        <w:gridCol w:w="109"/>
        <w:gridCol w:w="219"/>
        <w:gridCol w:w="862"/>
        <w:gridCol w:w="109"/>
        <w:gridCol w:w="109"/>
        <w:gridCol w:w="109"/>
        <w:gridCol w:w="109"/>
        <w:gridCol w:w="308"/>
        <w:gridCol w:w="308"/>
        <w:gridCol w:w="316"/>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779,178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188,963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51,538,729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51,757,065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412" w:type="dxa"/>
        <w:jc w:val="center"/>
        <w:tblInd w:w="0" w:type="dxa"/>
        <w:tblLayout w:type="fixed"/>
        <w:tblCellMar>
          <w:top w:w="28" w:type="dxa"/>
          <w:left w:w="28" w:type="dxa"/>
          <w:bottom w:w="28" w:type="dxa"/>
          <w:right w:w="28" w:type="dxa"/>
        </w:tblCellMar>
      </w:tblPr>
      <w:tblGrid>
        <w:gridCol w:w="1432"/>
        <w:gridCol w:w="1261"/>
        <w:gridCol w:w="1267"/>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316"/>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1,491,400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352,453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118,721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52,938,352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53,230,622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502" w:type="dxa"/>
        <w:jc w:val="center"/>
        <w:tblInd w:w="0" w:type="dxa"/>
        <w:tblLayout w:type="fixed"/>
        <w:tblCellMar>
          <w:top w:w="28" w:type="dxa"/>
          <w:left w:w="28" w:type="dxa"/>
          <w:bottom w:w="28" w:type="dxa"/>
          <w:right w:w="28" w:type="dxa"/>
        </w:tblCellMar>
      </w:tblPr>
      <w:tblGrid>
        <w:gridCol w:w="1561"/>
        <w:gridCol w:w="1377"/>
        <w:gridCol w:w="1381"/>
        <w:gridCol w:w="211"/>
        <w:gridCol w:w="991"/>
        <w:gridCol w:w="109"/>
        <w:gridCol w:w="109"/>
        <w:gridCol w:w="109"/>
        <w:gridCol w:w="109"/>
        <w:gridCol w:w="243"/>
        <w:gridCol w:w="1125"/>
        <w:gridCol w:w="177"/>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208,829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465,050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503,973 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1,818,900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3,790,050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3,889,603 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revolving credit facility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205,953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287,695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971,672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966,165 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1,072,058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2,846,531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2,550,312 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1,339,291 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3,790,050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3,889,603 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414" w:type="dxa"/>
        <w:jc w:val="center"/>
        <w:tblInd w:w="0" w:type="dxa"/>
        <w:tblLayout w:type="fixed"/>
        <w:tblCellMar>
          <w:top w:w="28" w:type="dxa"/>
          <w:left w:w="28" w:type="dxa"/>
          <w:bottom w:w="28" w:type="dxa"/>
          <w:right w:w="28" w:type="dxa"/>
        </w:tblCellMar>
      </w:tblPr>
      <w:tblGrid>
        <w:gridCol w:w="2442"/>
        <w:gridCol w:w="2144"/>
        <w:gridCol w:w="2149"/>
        <w:gridCol w:w="211"/>
        <w:gridCol w:w="841"/>
        <w:gridCol w:w="109"/>
        <w:gridCol w:w="109"/>
        <w:gridCol w:w="109"/>
        <w:gridCol w:w="109"/>
        <w:gridCol w:w="211"/>
        <w:gridCol w:w="826"/>
        <w:gridCol w:w="154"/>
      </w:tblGrid>
      <w:tr>
        <w:trPr/>
        <w:tc>
          <w:tcPr>
            <w:tcW w:w="244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 and other non-cash items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202,792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 —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securities and other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securities and 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and settlements for acquisitions — net of cash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long-term debt — net of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373,748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revolving credit facility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net share settlement of stock options and restricted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(137,005)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167,797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493" w:type="dxa"/>
        <w:jc w:val="center"/>
        <w:tblInd w:w="0" w:type="dxa"/>
        <w:tblLayout w:type="fixed"/>
        <w:tblCellMar>
          <w:top w:w="28" w:type="dxa"/>
          <w:left w:w="28" w:type="dxa"/>
          <w:bottom w:w="28" w:type="dxa"/>
          <w:right w:w="28" w:type="dxa"/>
        </w:tblCellMar>
      </w:tblPr>
      <w:tblGrid>
        <w:gridCol w:w="1124"/>
        <w:gridCol w:w="988"/>
        <w:gridCol w:w="992"/>
        <w:gridCol w:w="211"/>
        <w:gridCol w:w="841"/>
        <w:gridCol w:w="271"/>
        <w:gridCol w:w="109"/>
        <w:gridCol w:w="109"/>
        <w:gridCol w:w="109"/>
        <w:gridCol w:w="211"/>
        <w:gridCol w:w="841"/>
        <w:gridCol w:w="271"/>
        <w:gridCol w:w="109"/>
        <w:gridCol w:w="109"/>
        <w:gridCol w:w="109"/>
        <w:gridCol w:w="241"/>
        <w:gridCol w:w="843"/>
        <w:gridCol w:w="310"/>
        <w:gridCol w:w="109"/>
        <w:gridCol w:w="109"/>
        <w:gridCol w:w="109"/>
        <w:gridCol w:w="211"/>
        <w:gridCol w:w="841"/>
        <w:gridCol w:w="316"/>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 2026</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557,297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193,586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28,295</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779,178</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25,060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50,278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4,479</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79,817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Adjusted income from operations </w:t>
            </w:r>
            <w:r>
              <w:rPr>
                <w:rFonts w:ascii="Times New Roman;serif" w:hAnsi="Times New Roman;serif"/>
                <w:b/>
                <w:i/>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44,198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50,278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4,479</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98,955</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16</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2025</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income from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40,923 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4,849 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86,052 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1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(1)For the three months ended June 30, 2026, adjusted income from operations represents income from operations excluding $19.1 million of impairment losses related to the full service center-based child care segment, of which $12.8 million was recorded to cost of services and $6.3 million was recorded to selling, general and administrative expenses.</w:t>
      </w:r>
    </w:p>
    <w:tbl>
      <w:tblPr>
        <w:tblW w:w="9778" w:type="dxa"/>
        <w:jc w:val="center"/>
        <w:tblInd w:w="0" w:type="dxa"/>
        <w:tblLayout w:type="fixed"/>
        <w:tblCellMar>
          <w:top w:w="28" w:type="dxa"/>
          <w:left w:w="28" w:type="dxa"/>
          <w:bottom w:w="28" w:type="dxa"/>
          <w:right w:w="28" w:type="dxa"/>
        </w:tblCellMar>
      </w:tblPr>
      <w:tblGrid>
        <w:gridCol w:w="1119"/>
        <w:gridCol w:w="983"/>
        <w:gridCol w:w="987"/>
        <w:gridCol w:w="211"/>
        <w:gridCol w:w="991"/>
        <w:gridCol w:w="271"/>
        <w:gridCol w:w="109"/>
        <w:gridCol w:w="109"/>
        <w:gridCol w:w="109"/>
        <w:gridCol w:w="211"/>
        <w:gridCol w:w="841"/>
        <w:gridCol w:w="271"/>
        <w:gridCol w:w="109"/>
        <w:gridCol w:w="109"/>
        <w:gridCol w:w="109"/>
        <w:gridCol w:w="241"/>
        <w:gridCol w:w="843"/>
        <w:gridCol w:w="310"/>
        <w:gridCol w:w="109"/>
        <w:gridCol w:w="109"/>
        <w:gridCol w:w="109"/>
        <w:gridCol w:w="211"/>
        <w:gridCol w:w="991"/>
        <w:gridCol w:w="316"/>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2026</w:t>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1,097,931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338,255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55,214</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1,491,400</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61,965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75,850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6,951</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144,766</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Adjusted income from operations</w:t>
            </w:r>
            <w:r>
              <w:rPr>
                <w:color w:val="000000"/>
              </w:rPr>
              <w:t xml:space="preserve"> </w:t>
            </w:r>
            <w:r>
              <w:rPr>
                <w:rFonts w:ascii="Times New Roman;serif" w:hAnsi="Times New Roman;serif"/>
                <w:b/>
                <w:i/>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81,103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75,850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6,951</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163,904</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2025</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income from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7,483 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148,324 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1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(1)For the six months ended June 30, 2026, adjusted income from operations represents income from operations excluding $19.1 million of impairment losses related to the full service center-based child care segment, of which $12.8 million was recorded to cost of services and $6.3 million was recorded to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RECONCILIATIONS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3"/>
        <w:gridCol w:w="1403"/>
        <w:gridCol w:w="1410"/>
        <w:gridCol w:w="334"/>
        <w:gridCol w:w="222"/>
        <w:gridCol w:w="559"/>
        <w:gridCol w:w="170"/>
        <w:gridCol w:w="170"/>
        <w:gridCol w:w="170"/>
        <w:gridCol w:w="334"/>
        <w:gridCol w:w="222"/>
        <w:gridCol w:w="559"/>
        <w:gridCol w:w="109"/>
        <w:gridCol w:w="109"/>
        <w:gridCol w:w="109"/>
        <w:gridCol w:w="304"/>
        <w:gridCol w:w="222"/>
        <w:gridCol w:w="559"/>
        <w:gridCol w:w="154"/>
        <w:gridCol w:w="154"/>
        <w:gridCol w:w="154"/>
        <w:gridCol w:w="304"/>
        <w:gridCol w:w="210"/>
        <w:gridCol w:w="621"/>
      </w:tblGrid>
      <w:tr>
        <w:trPr/>
        <w:tc>
          <w:tcPr>
            <w:tcW w:w="164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40,635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74,743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14,023</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26,045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25,159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43,978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23,425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45,470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41,341</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104,386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192,568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192,933</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Additional adjustments: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(a)</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19,138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19,138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(b)</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7,032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14,456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26,170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33,594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130,556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226,162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207,919</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17</w:t>
            </w:r>
            <w:r>
              <w:rPr>
                <w:color w:val="000000"/>
              </w:rPr>
              <w:t> </w:t>
            </w:r>
          </w:p>
        </w:tc>
        <w:tc>
          <w:tcPr>
            <w:tcW w:w="5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5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w:t>
            </w:r>
            <w:r>
              <w:rPr>
                <w:color w:val="000000"/>
              </w:rPr>
              <w:t> </w:t>
            </w:r>
          </w:p>
        </w:tc>
        <w:tc>
          <w:tcPr>
            <w:tcW w:w="5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6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79,817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144,766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(a)</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19,138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19,138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98,955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163,904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148,324</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w:t>
            </w:r>
            <w:r>
              <w:rPr>
                <w:color w:val="000000"/>
              </w:rPr>
              <w:t> </w:t>
            </w:r>
          </w:p>
        </w:tc>
        <w:tc>
          <w:tcPr>
            <w:tcW w:w="5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5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w:t>
            </w:r>
            <w:r>
              <w:rPr>
                <w:color w:val="000000"/>
              </w:rPr>
              <w:t> </w:t>
            </w:r>
          </w:p>
        </w:tc>
        <w:tc>
          <w:tcPr>
            <w:tcW w:w="5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6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40,635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74,743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92,824</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25,159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43,978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65,794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118,721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127,418</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losses </w:t>
            </w:r>
            <w:r>
              <w:rPr>
                <w:rFonts w:ascii="Times New Roman;serif" w:hAnsi="Times New Roman;serif"/>
                <w:b w:val="false"/>
                <w:color w:val="000000"/>
                <w:sz w:val="13"/>
              </w:rPr>
              <w:t>(a)</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19,138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19,138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(b)</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7,032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14,456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w:t>
            </w:r>
          </w:p>
        </w:tc>
      </w:tr>
      <w:tr>
        <w:trPr/>
        <w:tc>
          <w:tcPr>
            <w:tcW w:w="4456"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interest costs </w:t>
            </w:r>
            <w:r>
              <w:rPr>
                <w:rFonts w:ascii="Times New Roman;serif" w:hAnsi="Times New Roman;serif"/>
                <w:b w:val="false"/>
                <w:color w:val="000000"/>
                <w:sz w:val="13"/>
              </w:rPr>
              <w:t>(c)</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w:t>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93,108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154,647</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146,223</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income tax expense </w:t>
            </w:r>
            <w:r>
              <w:rPr>
                <w:rFonts w:ascii="Times New Roman;serif" w:hAnsi="Times New Roman;serif"/>
                <w:b w:val="false"/>
                <w:color w:val="000000"/>
                <w:sz w:val="13"/>
              </w:rPr>
              <w:t>(d)</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(26,769)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(43,692)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66,339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110,955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106,223</w:t>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w:t>
            </w:r>
            <w:r>
              <w:rPr>
                <w:color w:val="000000"/>
              </w:rPr>
              <w:t> </w:t>
            </w:r>
          </w:p>
        </w:tc>
        <w:tc>
          <w:tcPr>
            <w:tcW w:w="5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8 </w:t>
            </w:r>
          </w:p>
        </w:tc>
        <w:tc>
          <w:tcPr>
            <w:tcW w:w="5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w:t>
            </w:r>
            <w:r>
              <w:rPr>
                <w:color w:val="000000"/>
              </w:rPr>
              <w:t> </w:t>
            </w:r>
          </w:p>
        </w:tc>
        <w:tc>
          <w:tcPr>
            <w:tcW w:w="5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8 </w:t>
            </w:r>
          </w:p>
        </w:tc>
        <w:tc>
          <w:tcPr>
            <w:tcW w:w="6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51,757,065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57,713,111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53,230,622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57,831,930</w:t>
            </w:r>
          </w:p>
        </w:tc>
      </w:tr>
      <w:tr>
        <w:trPr/>
        <w:tc>
          <w:tcPr>
            <w:tcW w:w="4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adjusted earnings per common share</w:t>
            </w:r>
            <w:r>
              <w:rPr>
                <w:color w:val="000000"/>
              </w:rPr>
              <w:t xml:space="preserve"> </w:t>
            </w:r>
            <w:r>
              <w:rPr>
                <w:rFonts w:ascii="Times New Roman;serif" w:hAnsi="Times New Roman;serif"/>
                <w:b/>
                <w:color w:val="000000"/>
                <w:sz w:val="13"/>
              </w:rPr>
              <w:t>(e)</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(a)Impairment losses represent charges related to long-lived assets and goodwill arising from center closures, changes in market assumptions and reduced operating performance at certain centers. For the three and six months ended June 30, 2026, impairment losses totaled $19.1 million related to the full service center-based child care segment, of which $12.8 million was recorded to cost of services and $6.3 million was recorded to selling, general and administrative expenses.</w:t>
      </w:r>
    </w:p>
    <w:p>
      <w:pPr>
        <w:pStyle w:val="TextBody"/>
        <w:bidi w:val="0"/>
        <w:spacing w:lineRule="auto" w:line="288" w:before="20" w:after="20"/>
        <w:ind w:left="0" w:right="0" w:hanging="540"/>
        <w:jc w:val="left"/>
        <w:rPr/>
      </w:pPr>
      <w:r>
        <w:rPr>
          <w:rFonts w:ascii="Times New Roman;serif" w:hAnsi="Times New Roman;serif"/>
          <w:b w:val="false"/>
          <w:color w:val="000000"/>
          <w:sz w:val="18"/>
        </w:rPr>
        <w:t xml:space="preserve">(b)Stock-based compensation expense represents non-cash stock-based compensation expense in accordance with Accounting Standards Codification Topic 718, </w:t>
      </w:r>
      <w:r>
        <w:rPr>
          <w:rFonts w:ascii="Times New Roman;serif" w:hAnsi="Times New Roman;serif"/>
          <w:b w:val="false"/>
          <w:i/>
          <w:color w:val="000000"/>
          <w:sz w:val="18"/>
        </w:rPr>
        <w:t>Compensation-Stock Compensation</w:t>
      </w:r>
      <w:r>
        <w:rPr>
          <w:rFonts w:ascii="Times New Roman;serif" w:hAnsi="Times New Roman;serif"/>
          <w:b w:val="false"/>
          <w:color w:val="000000"/>
          <w:sz w:val="18"/>
        </w:rPr>
        <w:t>.</w:t>
      </w:r>
    </w:p>
    <w:p>
      <w:pPr>
        <w:pStyle w:val="TextBody"/>
        <w:bidi w:val="0"/>
        <w:spacing w:lineRule="auto" w:line="288" w:before="20" w:after="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(c)Other interest costs in the three and six months ended June 30, 2025 consist of costs incurred in connection with the April 2025 debt refinancing of $0.6 million, which are included in interest expense on the statement of income.</w:t>
      </w:r>
    </w:p>
    <w:p>
      <w:pPr>
        <w:pStyle w:val="TextBody"/>
        <w:bidi w:val="0"/>
        <w:spacing w:lineRule="auto" w:line="288" w:before="20" w:after="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(d)Adjusted income tax expense represents income tax expense calculated on adjusted income before income tax at an effective tax rate of approximately 29% and 28% for the three and six months ended June 30, 2026, respectively, and of approximately 27% for both the three and six months ended June 30, 2025. The jurisdictional mix of the expected adjusted income before income tax for the full year will affect the estimated effective tax rate for the year.</w:t>
      </w:r>
    </w:p>
    <w:p>
      <w:pPr>
        <w:pStyle w:val="TextBody"/>
        <w:bidi w:val="0"/>
        <w:spacing w:lineRule="auto" w:line="288" w:before="20" w:after="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(e)The sum of the quarterly earnings per share amounts does not equal the year-to-date earnings per share amounts due to the independent calculation of the weighted-average number of common shares outstanding for each discrete period, as well as rounding. This variance is primarily due to the seasonal fluctuations in our net income and changes in the weighted-average shares outstanding, including the cumulating effect of treasury repurchases during individual quarters.</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4367</Words>
  <Characters>24854</Characters>
  <CharactersWithSpaces>28680</CharactersWithSpaces>
  <Paragraphs>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