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593725</wp:posOffset>
            </wp:positionH>
            <wp:positionV relativeFrom="page">
              <wp:posOffset>568960</wp:posOffset>
            </wp:positionV>
            <wp:extent cx="6369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page">
              <wp:posOffset>593725</wp:posOffset>
            </wp:positionH>
            <wp:positionV relativeFrom="page">
              <wp:posOffset>534670</wp:posOffset>
            </wp:positionV>
            <wp:extent cx="6369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69050"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85725</wp:posOffset>
            </wp:positionV>
            <wp:extent cx="3960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147955</wp:posOffset>
            </wp:positionV>
            <wp:extent cx="3960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99060</wp:posOffset>
            </wp:positionV>
            <wp:extent cx="3960495" cy="900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60495"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BRIGHT HORIZONS FAMILY SOLUTIONS INC.</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90170</wp:posOffset>
            </wp:positionV>
            <wp:extent cx="3960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330" w:lineRule="exact"/>
        <w:rPr>
          <w:sz w:val="24"/>
          <w:szCs w:val="24"/>
          <w:color w:val="auto"/>
        </w:rPr>
      </w:pPr>
    </w:p>
    <w:tbl>
      <w:tblPr>
        <w:tblLayout w:type="fixed"/>
        <w:tblInd w:w="1400" w:type="dxa"/>
        <w:tblCellMar>
          <w:top w:w="0" w:type="dxa"/>
          <w:left w:w="0" w:type="dxa"/>
          <w:bottom w:w="0" w:type="dxa"/>
          <w:right w:w="0" w:type="dxa"/>
        </w:tblCellMar>
      </w:tblPr>
      <w:tr>
        <w:trPr>
          <w:trHeight w:val="229"/>
        </w:trPr>
        <w:tc>
          <w:tcPr>
            <w:tcW w:w="2660" w:type="dxa"/>
            <w:vAlign w:val="bottom"/>
          </w:tcPr>
          <w:p>
            <w:pPr>
              <w:jc w:val="center"/>
              <w:ind w:right="10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001-35780</w:t>
            </w:r>
          </w:p>
        </w:tc>
        <w:tc>
          <w:tcPr>
            <w:tcW w:w="2540" w:type="dxa"/>
            <w:vAlign w:val="bottom"/>
          </w:tcPr>
          <w:p>
            <w:pPr>
              <w:jc w:val="center"/>
              <w:ind w:left="1122"/>
              <w:spacing w:after="0"/>
              <w:rPr>
                <w:sz w:val="20"/>
                <w:szCs w:val="20"/>
                <w:color w:val="auto"/>
              </w:rPr>
            </w:pPr>
            <w:r>
              <w:rPr>
                <w:rFonts w:ascii="Times New Roman" w:cs="Times New Roman" w:eastAsia="Times New Roman" w:hAnsi="Times New Roman"/>
                <w:sz w:val="18"/>
                <w:szCs w:val="18"/>
                <w:b w:val="1"/>
                <w:bCs w:val="1"/>
                <w:color w:val="auto"/>
                <w:w w:val="98"/>
              </w:rPr>
              <w:t>80-0188269</w:t>
            </w:r>
          </w:p>
        </w:tc>
      </w:tr>
      <w:tr>
        <w:trPr>
          <w:trHeight w:val="144"/>
        </w:trPr>
        <w:tc>
          <w:tcPr>
            <w:tcW w:w="2660" w:type="dxa"/>
            <w:vAlign w:val="bottom"/>
          </w:tcPr>
          <w:p>
            <w:pPr>
              <w:jc w:val="center"/>
              <w:ind w:right="1062"/>
              <w:spacing w:after="0" w:line="145" w:lineRule="exact"/>
              <w:rPr>
                <w:sz w:val="20"/>
                <w:szCs w:val="20"/>
                <w:color w:val="auto"/>
              </w:rPr>
            </w:pPr>
            <w:r>
              <w:rPr>
                <w:rFonts w:ascii="Times New Roman" w:cs="Times New Roman" w:eastAsia="Times New Roman" w:hAnsi="Times New Roman"/>
                <w:sz w:val="14"/>
                <w:szCs w:val="14"/>
                <w:color w:val="auto"/>
              </w:rPr>
              <w:t>(State or other jurisdiction</w:t>
            </w:r>
          </w:p>
        </w:tc>
        <w:tc>
          <w:tcPr>
            <w:tcW w:w="3160" w:type="dxa"/>
            <w:vAlign w:val="bottom"/>
          </w:tcPr>
          <w:p>
            <w:pPr>
              <w:ind w:left="1160"/>
              <w:spacing w:after="0" w:line="145" w:lineRule="exact"/>
              <w:rPr>
                <w:sz w:val="20"/>
                <w:szCs w:val="20"/>
                <w:color w:val="auto"/>
              </w:rPr>
            </w:pPr>
            <w:r>
              <w:rPr>
                <w:rFonts w:ascii="Times New Roman" w:cs="Times New Roman" w:eastAsia="Times New Roman" w:hAnsi="Times New Roman"/>
                <w:sz w:val="14"/>
                <w:szCs w:val="14"/>
                <w:color w:val="auto"/>
              </w:rPr>
              <w:t>(Commission</w:t>
            </w:r>
          </w:p>
        </w:tc>
        <w:tc>
          <w:tcPr>
            <w:tcW w:w="2540" w:type="dxa"/>
            <w:vAlign w:val="bottom"/>
          </w:tcPr>
          <w:p>
            <w:pPr>
              <w:jc w:val="center"/>
              <w:ind w:left="1122"/>
              <w:spacing w:after="0" w:line="145"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660" w:type="dxa"/>
            <w:vAlign w:val="bottom"/>
          </w:tcPr>
          <w:p>
            <w:pPr>
              <w:jc w:val="center"/>
              <w:ind w:right="1082"/>
              <w:spacing w:after="0"/>
              <w:rPr>
                <w:sz w:val="20"/>
                <w:szCs w:val="20"/>
                <w:color w:val="auto"/>
              </w:rPr>
            </w:pPr>
            <w:r>
              <w:rPr>
                <w:rFonts w:ascii="Times New Roman" w:cs="Times New Roman" w:eastAsia="Times New Roman" w:hAnsi="Times New Roman"/>
                <w:sz w:val="14"/>
                <w:szCs w:val="14"/>
                <w:color w:val="auto"/>
              </w:rPr>
              <w:t>of incorporation)</w:t>
            </w:r>
          </w:p>
        </w:tc>
        <w:tc>
          <w:tcPr>
            <w:tcW w:w="316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File Number)</w:t>
            </w:r>
          </w:p>
        </w:tc>
        <w:tc>
          <w:tcPr>
            <w:tcW w:w="2540" w:type="dxa"/>
            <w:vAlign w:val="bottom"/>
          </w:tcPr>
          <w:p>
            <w:pPr>
              <w:jc w:val="center"/>
              <w:ind w:left="1122"/>
              <w:spacing w:after="0"/>
              <w:rPr>
                <w:sz w:val="20"/>
                <w:szCs w:val="20"/>
                <w:color w:val="auto"/>
              </w:rPr>
            </w:pPr>
            <w:r>
              <w:rPr>
                <w:rFonts w:ascii="Times New Roman" w:cs="Times New Roman" w:eastAsia="Times New Roman" w:hAnsi="Times New Roman"/>
                <w:sz w:val="14"/>
                <w:szCs w:val="14"/>
                <w:color w:val="auto"/>
              </w:rPr>
              <w:t>Identification Number)</w:t>
            </w:r>
          </w:p>
        </w:tc>
      </w:tr>
    </w:tbl>
    <w:p>
      <w:pPr>
        <w:spacing w:after="0" w:line="167" w:lineRule="exact"/>
        <w:rPr>
          <w:sz w:val="24"/>
          <w:szCs w:val="24"/>
          <w:color w:val="auto"/>
        </w:rPr>
      </w:pPr>
    </w:p>
    <w:p>
      <w:pPr>
        <w:sectPr>
          <w:pgSz w:w="11900" w:h="16838" w:orient="portrait"/>
          <w:cols w:equalWidth="0" w:num="1">
            <w:col w:w="11240"/>
          </w:cols>
          <w:pgMar w:left="320" w:top="970" w:right="339" w:bottom="1440" w:gutter="0" w:footer="0" w:header="0"/>
        </w:sectPr>
      </w:pPr>
    </w:p>
    <w:p>
      <w:pPr>
        <w:ind w:left="2640"/>
        <w:spacing w:after="0"/>
        <w:rPr>
          <w:sz w:val="20"/>
          <w:szCs w:val="20"/>
          <w:color w:val="auto"/>
        </w:rPr>
      </w:pPr>
      <w:r>
        <w:rPr>
          <w:rFonts w:ascii="Times New Roman" w:cs="Times New Roman" w:eastAsia="Times New Roman" w:hAnsi="Times New Roman"/>
          <w:sz w:val="18"/>
          <w:szCs w:val="18"/>
          <w:b w:val="1"/>
          <w:bCs w:val="1"/>
          <w:color w:val="auto"/>
        </w:rPr>
        <w:t>2 Wells Avenue</w:t>
      </w:r>
    </w:p>
    <w:p>
      <w:pPr>
        <w:spacing w:after="0" w:line="31"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7"/>
          <w:szCs w:val="17"/>
          <w:b w:val="1"/>
          <w:bCs w:val="1"/>
          <w:color w:val="auto"/>
        </w:rPr>
        <w:t>Newton, Massachusetts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02459</w:t>
      </w:r>
    </w:p>
    <w:p>
      <w:pPr>
        <w:spacing w:after="0" w:line="42" w:lineRule="exact"/>
        <w:rPr>
          <w:sz w:val="24"/>
          <w:szCs w:val="24"/>
          <w:color w:val="auto"/>
        </w:rPr>
      </w:pPr>
    </w:p>
    <w:p>
      <w:pPr>
        <w:sectPr>
          <w:pgSz w:w="11900" w:h="16838" w:orient="portrait"/>
          <w:cols w:equalWidth="0" w:num="2">
            <w:col w:w="7260" w:space="720"/>
            <w:col w:w="3260"/>
          </w:cols>
          <w:pgMar w:left="320" w:top="970" w:right="33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68" w:lineRule="exact"/>
        <w:rPr>
          <w:sz w:val="24"/>
          <w:szCs w:val="24"/>
          <w:color w:val="auto"/>
        </w:rPr>
      </w:pPr>
    </w:p>
    <w:p>
      <w:pPr>
        <w:sectPr>
          <w:pgSz w:w="11900" w:h="16838" w:orient="portrait"/>
          <w:cols w:equalWidth="0" w:num="2">
            <w:col w:w="7180" w:space="720"/>
            <w:col w:w="3340"/>
          </w:cols>
          <w:pgMar w:left="320" w:top="97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673-8000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74930</wp:posOffset>
            </wp:positionV>
            <wp:extent cx="3960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55"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6" w:lineRule="exact"/>
        <w:rPr>
          <w:sz w:val="24"/>
          <w:szCs w:val="24"/>
          <w:color w:val="auto"/>
        </w:rPr>
      </w:pPr>
    </w:p>
    <w:p>
      <w:pPr>
        <w:ind w:left="1020" w:hanging="220"/>
        <w:spacing w:after="0"/>
        <w:tabs>
          <w:tab w:leader="none" w:pos="102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74" w:lineRule="exact"/>
        <w:rPr>
          <w:rFonts w:ascii="MS PGothic" w:cs="MS PGothic" w:eastAsia="MS PGothic" w:hAnsi="MS PGothic"/>
          <w:sz w:val="21"/>
          <w:szCs w:val="21"/>
          <w:color w:val="auto"/>
          <w:highlight w:val="black"/>
        </w:rPr>
      </w:pPr>
    </w:p>
    <w:p>
      <w:pPr>
        <w:ind w:left="1020" w:hanging="220"/>
        <w:spacing w:after="0"/>
        <w:tabs>
          <w:tab w:leader="none" w:pos="102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74" w:lineRule="exact"/>
        <w:rPr>
          <w:rFonts w:ascii="MS PGothic" w:cs="MS PGothic" w:eastAsia="MS PGothic" w:hAnsi="MS PGothic"/>
          <w:sz w:val="21"/>
          <w:szCs w:val="21"/>
          <w:color w:val="auto"/>
          <w:highlight w:val="black"/>
        </w:rPr>
      </w:pPr>
    </w:p>
    <w:p>
      <w:pPr>
        <w:ind w:left="1020" w:hanging="220"/>
        <w:spacing w:after="0"/>
        <w:tabs>
          <w:tab w:leader="none" w:pos="102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60" w:lineRule="exact"/>
        <w:rPr>
          <w:rFonts w:ascii="MS PGothic" w:cs="MS PGothic" w:eastAsia="MS PGothic" w:hAnsi="MS PGothic"/>
          <w:sz w:val="21"/>
          <w:szCs w:val="21"/>
          <w:color w:val="auto"/>
          <w:highlight w:val="black"/>
        </w:rPr>
      </w:pPr>
    </w:p>
    <w:p>
      <w:pPr>
        <w:ind w:left="1020" w:hanging="220"/>
        <w:spacing w:after="0"/>
        <w:tabs>
          <w:tab w:leader="none" w:pos="102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3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28"/>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8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BFAM</w:t>
            </w:r>
          </w:p>
        </w:tc>
        <w:tc>
          <w:tcPr>
            <w:tcW w:w="28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2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4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5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68580</wp:posOffset>
            </wp:positionV>
            <wp:extent cx="6540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34290</wp:posOffset>
            </wp:positionV>
            <wp:extent cx="6540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0500" cy="889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type w:val="continuous"/>
        </w:sectPr>
      </w:pPr>
    </w:p>
    <w:bookmarkStart w:id="1" w:name="page2"/>
    <w:bookmarkEnd w:id="1"/>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June 3, 2026, Bright Horizons Family Solutions Inc. (the “Company”) held its annual meeting of shareholders pursuant to notice duly given. Set forth below are the final voting results for each of the matters submitted to a vote of the shareholders. For more information about the proposals set forth below, please see the Company’s definitive Proxy Statement as filed with the Securities and Exchange Commission on April 20,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One: Election of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six director nominees were elected to serve on the Company’s Board of Directors (the “Board”) for a term of one year,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2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For</w:t>
            </w:r>
          </w:p>
        </w:tc>
        <w:tc>
          <w:tcPr>
            <w:tcW w:w="78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25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Abstain</w:t>
            </w: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M. Alleva</w:t>
            </w:r>
          </w:p>
        </w:tc>
        <w:tc>
          <w:tcPr>
            <w:tcW w:w="238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44,023,783</w:t>
            </w:r>
          </w:p>
        </w:tc>
        <w:tc>
          <w:tcPr>
            <w:tcW w:w="216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1,373,057</w:t>
            </w:r>
          </w:p>
        </w:tc>
        <w:tc>
          <w:tcPr>
            <w:tcW w:w="132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7,053</w:t>
            </w:r>
          </w:p>
        </w:tc>
        <w:tc>
          <w:tcPr>
            <w:tcW w:w="12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2,068,801</w:t>
            </w:r>
          </w:p>
        </w:tc>
        <w:tc>
          <w:tcPr>
            <w:tcW w:w="420" w:type="dxa"/>
            <w:vAlign w:val="bottom"/>
            <w:shd w:val="clear" w:color="auto" w:fill="CCEEFF"/>
          </w:tcPr>
          <w:p>
            <w:pPr>
              <w:spacing w:after="0"/>
              <w:rPr>
                <w:sz w:val="19"/>
                <w:szCs w:val="19"/>
                <w:color w:val="auto"/>
              </w:rPr>
            </w:pPr>
          </w:p>
        </w:tc>
      </w:tr>
      <w:tr>
        <w:trPr>
          <w:trHeight w:val="22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Bekenstein</w:t>
            </w:r>
          </w:p>
        </w:tc>
        <w:tc>
          <w:tcPr>
            <w:tcW w:w="2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42,712,647</w:t>
            </w:r>
          </w:p>
        </w:tc>
        <w:tc>
          <w:tcPr>
            <w:tcW w:w="2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2,682,164</w:t>
            </w:r>
          </w:p>
        </w:tc>
        <w:tc>
          <w:tcPr>
            <w:tcW w:w="132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8"/>
              </w:rPr>
              <w:t>9,082</w:t>
            </w:r>
          </w:p>
        </w:tc>
        <w:tc>
          <w:tcPr>
            <w:tcW w:w="12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2,068,801</w:t>
            </w:r>
          </w:p>
        </w:tc>
        <w:tc>
          <w:tcPr>
            <w:tcW w:w="420" w:type="dxa"/>
            <w:vAlign w:val="bottom"/>
          </w:tcPr>
          <w:p>
            <w:pPr>
              <w:spacing w:after="0"/>
              <w:rPr>
                <w:sz w:val="19"/>
                <w:szCs w:val="19"/>
                <w:color w:val="auto"/>
              </w:rPr>
            </w:pPr>
          </w:p>
        </w:tc>
      </w:tr>
      <w:tr>
        <w:trPr>
          <w:trHeight w:val="229"/>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H. Kramer</w:t>
            </w:r>
          </w:p>
        </w:tc>
        <w:tc>
          <w:tcPr>
            <w:tcW w:w="238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45,043,489</w:t>
            </w:r>
          </w:p>
        </w:tc>
        <w:tc>
          <w:tcPr>
            <w:tcW w:w="21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353,882</w:t>
            </w:r>
          </w:p>
        </w:tc>
        <w:tc>
          <w:tcPr>
            <w:tcW w:w="132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6,522</w:t>
            </w:r>
          </w:p>
        </w:tc>
        <w:tc>
          <w:tcPr>
            <w:tcW w:w="12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2,068,801</w:t>
            </w:r>
          </w:p>
        </w:tc>
        <w:tc>
          <w:tcPr>
            <w:tcW w:w="420" w:type="dxa"/>
            <w:vAlign w:val="bottom"/>
            <w:shd w:val="clear" w:color="auto" w:fill="CCEEFF"/>
          </w:tcPr>
          <w:p>
            <w:pPr>
              <w:spacing w:after="0"/>
              <w:rPr>
                <w:sz w:val="19"/>
                <w:szCs w:val="19"/>
                <w:color w:val="auto"/>
              </w:rPr>
            </w:pPr>
          </w:p>
        </w:tc>
      </w:tr>
      <w:tr>
        <w:trPr>
          <w:trHeight w:val="23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 Lissy</w:t>
            </w:r>
          </w:p>
        </w:tc>
        <w:tc>
          <w:tcPr>
            <w:tcW w:w="2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43,599,757</w:t>
            </w:r>
          </w:p>
        </w:tc>
        <w:tc>
          <w:tcPr>
            <w:tcW w:w="2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1,797,614</w:t>
            </w:r>
          </w:p>
        </w:tc>
        <w:tc>
          <w:tcPr>
            <w:tcW w:w="132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8"/>
              </w:rPr>
              <w:t>6,522</w:t>
            </w:r>
          </w:p>
        </w:tc>
        <w:tc>
          <w:tcPr>
            <w:tcW w:w="12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2,068,801</w:t>
            </w:r>
          </w:p>
        </w:tc>
        <w:tc>
          <w:tcPr>
            <w:tcW w:w="420" w:type="dxa"/>
            <w:vAlign w:val="bottom"/>
          </w:tcPr>
          <w:p>
            <w:pPr>
              <w:spacing w:after="0"/>
              <w:rPr>
                <w:sz w:val="19"/>
                <w:szCs w:val="19"/>
                <w:color w:val="auto"/>
              </w:rPr>
            </w:pPr>
          </w:p>
        </w:tc>
      </w:tr>
      <w:tr>
        <w:trPr>
          <w:trHeight w:val="229"/>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Laurel J. Richie</w:t>
            </w:r>
          </w:p>
        </w:tc>
        <w:tc>
          <w:tcPr>
            <w:tcW w:w="238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41,894,272</w:t>
            </w:r>
          </w:p>
        </w:tc>
        <w:tc>
          <w:tcPr>
            <w:tcW w:w="216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3,508,437</w:t>
            </w:r>
          </w:p>
        </w:tc>
        <w:tc>
          <w:tcPr>
            <w:tcW w:w="132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1,184</w:t>
            </w:r>
          </w:p>
        </w:tc>
        <w:tc>
          <w:tcPr>
            <w:tcW w:w="12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2,068,801</w:t>
            </w:r>
          </w:p>
        </w:tc>
        <w:tc>
          <w:tcPr>
            <w:tcW w:w="420" w:type="dxa"/>
            <w:vAlign w:val="bottom"/>
            <w:shd w:val="clear" w:color="auto" w:fill="CCEEFF"/>
          </w:tcPr>
          <w:p>
            <w:pPr>
              <w:spacing w:after="0"/>
              <w:rPr>
                <w:sz w:val="19"/>
                <w:szCs w:val="19"/>
                <w:color w:val="auto"/>
              </w:rPr>
            </w:pP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Schulz</w:t>
            </w:r>
          </w:p>
        </w:tc>
        <w:tc>
          <w:tcPr>
            <w:tcW w:w="2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45,168,103</w:t>
            </w:r>
          </w:p>
        </w:tc>
        <w:tc>
          <w:tcPr>
            <w:tcW w:w="21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234,060</w:t>
            </w:r>
          </w:p>
        </w:tc>
        <w:tc>
          <w:tcPr>
            <w:tcW w:w="132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8"/>
              </w:rPr>
              <w:t>1,730</w:t>
            </w:r>
          </w:p>
        </w:tc>
        <w:tc>
          <w:tcPr>
            <w:tcW w:w="12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2,068,801</w:t>
            </w:r>
          </w:p>
        </w:tc>
        <w:tc>
          <w:tcPr>
            <w:tcW w:w="420" w:type="dxa"/>
            <w:vAlign w:val="bottom"/>
          </w:tcPr>
          <w:p>
            <w:pPr>
              <w:spacing w:after="0"/>
              <w:rPr>
                <w:sz w:val="20"/>
                <w:szCs w:val="20"/>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Two: Advisory Vote on Named Executive Officer 2025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shareholders approved, on an advisory basis, the 2025 compensation paid by the Company to its named executive officers, as follows:</w:t>
      </w:r>
    </w:p>
    <w:p>
      <w:pPr>
        <w:spacing w:after="0" w:line="144"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22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Against</w:t>
            </w:r>
          </w:p>
        </w:tc>
        <w:tc>
          <w:tcPr>
            <w:tcW w:w="25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Abstain</w:t>
            </w: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9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0"/>
        </w:trPr>
        <w:tc>
          <w:tcPr>
            <w:tcW w:w="21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40,505,698</w:t>
            </w:r>
          </w:p>
        </w:tc>
        <w:tc>
          <w:tcPr>
            <w:tcW w:w="216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4,888,698</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9,497</w:t>
            </w:r>
          </w:p>
        </w:tc>
        <w:tc>
          <w:tcPr>
            <w:tcW w:w="1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2,068,801</w:t>
            </w:r>
          </w:p>
        </w:tc>
        <w:tc>
          <w:tcPr>
            <w:tcW w:w="420" w:type="dxa"/>
            <w:vAlign w:val="bottom"/>
            <w:shd w:val="clear" w:color="auto" w:fill="CCEEFF"/>
          </w:tcPr>
          <w:p>
            <w:pPr>
              <w:spacing w:after="0"/>
              <w:rPr>
                <w:sz w:val="19"/>
                <w:szCs w:val="19"/>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Three: Ratification of the Company’s Independent Registered Public Accounting Firm for the fiscal year ending December 31, 2026</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shareholders ratified the appointment of Deloitte &amp; Touche LLP as the Company’s independent registered public accounting firm for the fiscal year ending December 31, 2026, as follows:</w:t>
      </w:r>
    </w:p>
    <w:p>
      <w:pPr>
        <w:spacing w:after="0" w:line="81"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2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5"/>
              </w:rPr>
              <w:t>For</w:t>
            </w:r>
          </w:p>
        </w:tc>
        <w:tc>
          <w:tcPr>
            <w:tcW w:w="20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Against</w:t>
            </w:r>
          </w:p>
        </w:tc>
        <w:tc>
          <w:tcPr>
            <w:tcW w:w="2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Abstain</w:t>
            </w: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94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0"/>
        </w:trPr>
        <w:tc>
          <w:tcPr>
            <w:tcW w:w="21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46,836,371</w:t>
            </w:r>
          </w:p>
        </w:tc>
        <w:tc>
          <w:tcPr>
            <w:tcW w:w="20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624,320</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12,003</w:t>
            </w:r>
          </w:p>
        </w:tc>
        <w:tc>
          <w:tcPr>
            <w:tcW w:w="1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shd w:val="clear" w:color="auto" w:fill="CCEEFF"/>
          </w:tcPr>
          <w:p>
            <w:pPr>
              <w:spacing w:after="0"/>
              <w:rPr>
                <w:sz w:val="19"/>
                <w:szCs w:val="19"/>
                <w:color w:val="auto"/>
              </w:rPr>
            </w:pPr>
          </w:p>
        </w:tc>
      </w:tr>
    </w:tbl>
    <w:p>
      <w:pPr>
        <w:spacing w:after="0" w:line="18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proposal to ratify the appointment of Deloitte &amp; Touche LLP was a routine matter and, therefore, there were no broker non-votes relating to that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tc>
        <w:tc>
          <w:tcPr>
            <w:tcW w:w="158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15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By:</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Elizabeth Boland</w:t>
            </w:r>
          </w:p>
        </w:tc>
      </w:tr>
      <w:tr>
        <w:trPr>
          <w:trHeight w:val="214"/>
        </w:trPr>
        <w:tc>
          <w:tcPr>
            <w:tcW w:w="560" w:type="dxa"/>
            <w:vAlign w:val="bottom"/>
          </w:tcPr>
          <w:p>
            <w:pPr>
              <w:spacing w:after="0"/>
              <w:rPr>
                <w:sz w:val="18"/>
                <w:szCs w:val="18"/>
                <w:color w:val="auto"/>
              </w:rPr>
            </w:pPr>
          </w:p>
        </w:tc>
        <w:tc>
          <w:tcPr>
            <w:tcW w:w="4520" w:type="dxa"/>
            <w:vAlign w:val="bottom"/>
            <w:tcBorders>
              <w:top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Elizabeth Boland</w:t>
            </w:r>
          </w:p>
        </w:tc>
      </w:tr>
      <w:tr>
        <w:trPr>
          <w:trHeight w:val="238"/>
        </w:trPr>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spacing w:after="0" w:line="1" w:lineRule="exact"/>
        <w:rPr>
          <w:sz w:val="20"/>
          <w:szCs w:val="20"/>
          <w:color w:val="auto"/>
        </w:rPr>
      </w:pP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2026-06-03T15:29:54Z</dcterms:created>
  <dcterms:modified xsi:type="dcterms:W3CDTF">2026-06-03T15:29:54Z</dcterms:modified>
</cp:coreProperties>
</file>