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575945</wp:posOffset>
            </wp:positionH>
            <wp:positionV relativeFrom="paragraph">
              <wp:posOffset>196215</wp:posOffset>
            </wp:positionV>
            <wp:extent cx="59975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97575" cy="762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233045</wp:posOffset>
            </wp:positionV>
            <wp:extent cx="59975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97575" cy="762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1979930</wp:posOffset>
            </wp:positionH>
            <wp:positionV relativeFrom="paragraph">
              <wp:posOffset>132080</wp:posOffset>
            </wp:positionV>
            <wp:extent cx="31826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2620" cy="7620"/>
                    </a:xfrm>
                    <a:prstGeom prst="rect">
                      <a:avLst/>
                    </a:prstGeom>
                    <a:noFill/>
                  </pic:spPr>
                </pic:pic>
              </a:graphicData>
            </a:graphic>
          </wp:anchor>
        </w:drawing>
      </w:r>
    </w:p>
    <w:p>
      <w:pPr>
        <w:spacing w:after="0" w:line="3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1979930</wp:posOffset>
            </wp:positionH>
            <wp:positionV relativeFrom="paragraph">
              <wp:posOffset>133350</wp:posOffset>
            </wp:positionV>
            <wp:extent cx="31826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82620" cy="7620"/>
                    </a:xfrm>
                    <a:prstGeom prst="rect">
                      <a:avLst/>
                    </a:prstGeom>
                    <a:noFill/>
                  </pic:spPr>
                </pic:pic>
              </a:graphicData>
            </a:graphic>
          </wp:anchor>
        </w:drawing>
      </w:r>
    </w:p>
    <w:p>
      <w:pPr>
        <w:spacing w:after="0" w:line="343" w:lineRule="exact"/>
        <w:rPr>
          <w:sz w:val="24"/>
          <w:szCs w:val="24"/>
          <w:color w:val="auto"/>
        </w:rPr>
      </w:pPr>
    </w:p>
    <w:p>
      <w:pPr>
        <w:ind w:left="90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105" w:lineRule="exact"/>
        <w:rPr>
          <w:sz w:val="24"/>
          <w:szCs w:val="24"/>
          <w:color w:val="auto"/>
        </w:rPr>
      </w:pPr>
    </w:p>
    <w:p>
      <w:pPr>
        <w:ind w:left="900"/>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36"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59" w:lineRule="exact"/>
        <w:rPr>
          <w:sz w:val="24"/>
          <w:szCs w:val="24"/>
          <w:color w:val="auto"/>
        </w:rPr>
      </w:pPr>
    </w:p>
    <w:p>
      <w:pPr>
        <w:ind w:left="1200" w:hanging="299"/>
        <w:spacing w:after="0"/>
        <w:tabs>
          <w:tab w:leader="none" w:pos="12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56" w:lineRule="exact"/>
        <w:rPr>
          <w:rFonts w:ascii="MS PGothic" w:cs="MS PGothic" w:eastAsia="MS PGothic" w:hAnsi="MS PGothic"/>
          <w:sz w:val="14"/>
          <w:szCs w:val="14"/>
          <w:color w:val="auto"/>
        </w:rPr>
      </w:pPr>
    </w:p>
    <w:p>
      <w:pPr>
        <w:ind w:left="1200" w:hanging="299"/>
        <w:spacing w:after="0"/>
        <w:tabs>
          <w:tab w:leader="none" w:pos="12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44" w:lineRule="exact"/>
        <w:rPr>
          <w:rFonts w:ascii="MS PGothic" w:cs="MS PGothic" w:eastAsia="MS PGothic" w:hAnsi="MS PGothic"/>
          <w:sz w:val="14"/>
          <w:szCs w:val="14"/>
          <w:color w:val="auto"/>
        </w:rPr>
      </w:pPr>
    </w:p>
    <w:p>
      <w:pPr>
        <w:ind w:left="90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Definitive Proxy Statement</w:t>
      </w:r>
    </w:p>
    <w:p>
      <w:pPr>
        <w:spacing w:after="0" w:line="75" w:lineRule="exact"/>
        <w:rPr>
          <w:rFonts w:ascii="MS PGothic" w:cs="MS PGothic" w:eastAsia="MS PGothic" w:hAnsi="MS PGothic"/>
          <w:sz w:val="14"/>
          <w:szCs w:val="14"/>
          <w:color w:val="auto"/>
        </w:rPr>
      </w:pPr>
    </w:p>
    <w:p>
      <w:pPr>
        <w:ind w:left="1200" w:hanging="299"/>
        <w:spacing w:after="0"/>
        <w:tabs>
          <w:tab w:leader="none" w:pos="12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58" w:lineRule="exact"/>
        <w:rPr>
          <w:rFonts w:ascii="MS PGothic" w:cs="MS PGothic" w:eastAsia="MS PGothic" w:hAnsi="MS PGothic"/>
          <w:sz w:val="14"/>
          <w:szCs w:val="14"/>
          <w:color w:val="auto"/>
        </w:rPr>
      </w:pPr>
    </w:p>
    <w:p>
      <w:pPr>
        <w:ind w:left="1200" w:hanging="299"/>
        <w:spacing w:after="0"/>
        <w:tabs>
          <w:tab w:leader="none" w:pos="12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147955</wp:posOffset>
            </wp:positionV>
            <wp:extent cx="1903730" cy="764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64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BRIGHT HORIZONS FAMILY SOLUTIONS INC.</w:t>
      </w:r>
    </w:p>
    <w:p>
      <w:pPr>
        <w:spacing w:after="0" w:line="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8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84"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05" w:lineRule="exact"/>
        <w:rPr>
          <w:sz w:val="24"/>
          <w:szCs w:val="24"/>
          <w:color w:val="auto"/>
        </w:rPr>
      </w:pPr>
    </w:p>
    <w:p>
      <w:pPr>
        <w:ind w:left="1200" w:hanging="299"/>
        <w:spacing w:after="0"/>
        <w:tabs>
          <w:tab w:leader="none" w:pos="12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05" w:lineRule="exact"/>
        <w:rPr>
          <w:sz w:val="24"/>
          <w:szCs w:val="24"/>
          <w:color w:val="auto"/>
        </w:rPr>
      </w:pPr>
    </w:p>
    <w:p>
      <w:pPr>
        <w:ind w:left="1200" w:hanging="299"/>
        <w:spacing w:after="0"/>
        <w:tabs>
          <w:tab w:leader="none" w:pos="12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05" w:lineRule="exact"/>
        <w:rPr>
          <w:rFonts w:ascii="MS PGothic" w:cs="MS PGothic" w:eastAsia="MS PGothic" w:hAnsi="MS PGothic"/>
          <w:sz w:val="14"/>
          <w:szCs w:val="14"/>
          <w:color w:val="auto"/>
        </w:rPr>
      </w:pPr>
    </w:p>
    <w:p>
      <w:pPr>
        <w:ind w:left="1200" w:hanging="299"/>
        <w:spacing w:after="0"/>
        <w:tabs>
          <w:tab w:leader="none" w:pos="12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575945</wp:posOffset>
            </wp:positionH>
            <wp:positionV relativeFrom="paragraph">
              <wp:posOffset>155575</wp:posOffset>
            </wp:positionV>
            <wp:extent cx="59975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97575" cy="762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192405</wp:posOffset>
            </wp:positionV>
            <wp:extent cx="59975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97575" cy="7620"/>
                    </a:xfrm>
                    <a:prstGeom prst="rect">
                      <a:avLst/>
                    </a:prstGeom>
                    <a:noFill/>
                  </pic:spPr>
                </pic:pic>
              </a:graphicData>
            </a:graphic>
          </wp:anchor>
        </w:drawing>
      </w:r>
    </w:p>
    <w:p>
      <w:pPr>
        <w:sectPr>
          <w:pgSz w:w="11900" w:h="16838" w:orient="portrait"/>
          <w:cols w:equalWidth="0" w:num="1">
            <w:col w:w="10139"/>
          </w:cols>
          <w:pgMar w:left="320" w:top="21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189230</wp:posOffset>
            </wp:positionV>
            <wp:extent cx="1903730" cy="756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3730" cy="75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5"/>
          <w:szCs w:val="15"/>
          <w:color w:val="1A475F"/>
        </w:rPr>
        <w:t>2 Wells Avenue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5"/>
          <w:szCs w:val="15"/>
          <w:color w:val="1A475F"/>
        </w:rPr>
        <w:t>Newton, Massachusetts 02459</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5"/>
          <w:szCs w:val="15"/>
          <w:color w:val="1A475F"/>
        </w:rPr>
        <w:t>April 20, 2026</w:t>
      </w:r>
    </w:p>
    <w:p>
      <w:pPr>
        <w:spacing w:after="0" w:line="94" w:lineRule="exact"/>
        <w:rPr>
          <w:sz w:val="20"/>
          <w:szCs w:val="20"/>
          <w:color w:val="auto"/>
        </w:rPr>
      </w:pPr>
    </w:p>
    <w:p>
      <w:pPr>
        <w:ind w:left="900"/>
        <w:spacing w:after="0"/>
        <w:rPr>
          <w:sz w:val="20"/>
          <w:szCs w:val="20"/>
          <w:color w:val="auto"/>
        </w:rPr>
      </w:pPr>
      <w:r>
        <w:rPr>
          <w:rFonts w:ascii="Arial" w:cs="Arial" w:eastAsia="Arial" w:hAnsi="Arial"/>
          <w:sz w:val="15"/>
          <w:szCs w:val="15"/>
          <w:color w:val="1A475F"/>
        </w:rPr>
        <w:t>Dear Shareholder:</w:t>
      </w:r>
    </w:p>
    <w:p>
      <w:pPr>
        <w:spacing w:after="0" w:line="94" w:lineRule="exact"/>
        <w:rPr>
          <w:sz w:val="20"/>
          <w:szCs w:val="20"/>
          <w:color w:val="auto"/>
        </w:rPr>
      </w:pPr>
    </w:p>
    <w:p>
      <w:pPr>
        <w:ind w:left="900" w:right="40" w:firstLine="756"/>
        <w:spacing w:after="0" w:line="249" w:lineRule="auto"/>
        <w:rPr>
          <w:sz w:val="20"/>
          <w:szCs w:val="20"/>
          <w:color w:val="auto"/>
        </w:rPr>
      </w:pPr>
      <w:r>
        <w:rPr>
          <w:rFonts w:ascii="Arial" w:cs="Arial" w:eastAsia="Arial" w:hAnsi="Arial"/>
          <w:sz w:val="15"/>
          <w:szCs w:val="15"/>
          <w:color w:val="1A475F"/>
        </w:rPr>
        <w:t xml:space="preserve">We cordially invite you to attend our 2026 Annual Meeting of Shareholders on Wednesday, June 3, 2026 at 8:00 a.m. (Eastern Time). We will host a virtual shareholder meeting conducted via live audio webcast. The virtual meeting format provides an opportunity for participation by all shareholders from any location that is convenient to an attendee, and we are committed to ensuring that our shareholders have an opportunity to participate in, and pose questions at, the virtual meeting. You may attend the 2026 Annual Meeting of Shareholders by logging in at </w:t>
      </w:r>
      <w:r>
        <w:rPr>
          <w:rFonts w:ascii="Arial" w:cs="Arial" w:eastAsia="Arial" w:hAnsi="Arial"/>
          <w:sz w:val="15"/>
          <w:szCs w:val="15"/>
          <w:i w:val="1"/>
          <w:iCs w:val="1"/>
          <w:color w:val="1A475F"/>
        </w:rPr>
        <w:t>www.virtualshareholdermeeting.com/BFAM2026.</w:t>
      </w:r>
      <w:r>
        <w:rPr>
          <w:rFonts w:ascii="Arial" w:cs="Arial" w:eastAsia="Arial" w:hAnsi="Arial"/>
          <w:sz w:val="15"/>
          <w:szCs w:val="15"/>
          <w:color w:val="1A475F"/>
        </w:rPr>
        <w:t xml:space="preserve"> For further information, please see </w:t>
      </w:r>
      <w:r>
        <w:rPr>
          <w:rFonts w:ascii="Arial" w:cs="Arial" w:eastAsia="Arial" w:hAnsi="Arial"/>
          <w:sz w:val="15"/>
          <w:szCs w:val="15"/>
          <w:i w:val="1"/>
          <w:iCs w:val="1"/>
          <w:color w:val="1A475F"/>
        </w:rPr>
        <w:t>“</w:t>
      </w:r>
      <w:r>
        <w:rPr>
          <w:rFonts w:ascii="Arial" w:cs="Arial" w:eastAsia="Arial" w:hAnsi="Arial"/>
          <w:sz w:val="15"/>
          <w:szCs w:val="15"/>
          <w:color w:val="1A475F"/>
        </w:rPr>
        <w:t>Information about the Virtual Annual Meeting” in the Proxy Statement for our 2026 Annual Meeting of Shareholders (the “Proxy Statement”).</w:t>
      </w:r>
    </w:p>
    <w:p>
      <w:pPr>
        <w:spacing w:after="0" w:line="61" w:lineRule="exact"/>
        <w:rPr>
          <w:sz w:val="20"/>
          <w:szCs w:val="20"/>
          <w:color w:val="auto"/>
        </w:rPr>
      </w:pPr>
    </w:p>
    <w:p>
      <w:pPr>
        <w:ind w:left="900" w:right="120" w:firstLine="756"/>
        <w:spacing w:after="0" w:line="248" w:lineRule="auto"/>
        <w:rPr>
          <w:sz w:val="20"/>
          <w:szCs w:val="20"/>
          <w:color w:val="auto"/>
        </w:rPr>
      </w:pPr>
      <w:r>
        <w:rPr>
          <w:rFonts w:ascii="Arial" w:cs="Arial" w:eastAsia="Arial" w:hAnsi="Arial"/>
          <w:sz w:val="15"/>
          <w:szCs w:val="15"/>
          <w:color w:val="1A475F"/>
        </w:rPr>
        <w:t>Pursuant to the Securities and Exchange Commission rules that allow companies to furnish proxy materials to shareholders over the Internet, we are posting our proxy materials on the Internet and delivering a Notice of Internet Availability of Proxy Materials (the “Notice”). This delivery process allows us to provide shareholders with the information they need, while at the same time conserving natural resources and reducing costs. On or about April 20, 2026, we will begin mailing to our shareholders the Notice containing instructions on how to access the Proxy Statement and the 2025 Annual Report on Form 10-K as well as how to request a paper copy of these proxy materials by mail. The Notice also provides instructions on how to vote online. If you prefer, you can vote by telephone or by mail by requesting a proxy card and following the instructions.</w:t>
      </w:r>
    </w:p>
    <w:p>
      <w:pPr>
        <w:spacing w:after="0" w:line="60" w:lineRule="exact"/>
        <w:rPr>
          <w:sz w:val="20"/>
          <w:szCs w:val="20"/>
          <w:color w:val="auto"/>
        </w:rPr>
      </w:pPr>
    </w:p>
    <w:p>
      <w:pPr>
        <w:ind w:left="900" w:right="160" w:firstLine="756"/>
        <w:spacing w:after="0" w:line="255" w:lineRule="auto"/>
        <w:rPr>
          <w:sz w:val="20"/>
          <w:szCs w:val="20"/>
          <w:color w:val="auto"/>
        </w:rPr>
      </w:pPr>
      <w:r>
        <w:rPr>
          <w:rFonts w:ascii="Arial" w:cs="Arial" w:eastAsia="Arial" w:hAnsi="Arial"/>
          <w:sz w:val="15"/>
          <w:szCs w:val="15"/>
          <w:color w:val="1A475F"/>
        </w:rPr>
        <w:t>The Notice and the Proxy Statement accompanying this letter describe the business we will consider at the 2026 Annual Meeting of Shareholders. Your vote is important, regardless of the number of shares that you own. Whether or not you plan to attend the 2026 Annual Meeting of Shareholders virtually, we encourage you to consider the matters presented in the Proxy Statement and vote as soon as possible.</w:t>
      </w:r>
    </w:p>
    <w:p>
      <w:pPr>
        <w:spacing w:after="0" w:line="54"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We hope that you will be able to join us on June 3rd.</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5"/>
          <w:szCs w:val="15"/>
          <w:color w:val="1A475F"/>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76200</wp:posOffset>
            </wp:positionV>
            <wp:extent cx="1109980" cy="242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9980" cy="24257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900"/>
        <w:spacing w:after="0"/>
        <w:rPr>
          <w:sz w:val="20"/>
          <w:szCs w:val="20"/>
          <w:color w:val="auto"/>
        </w:rPr>
      </w:pPr>
      <w:r>
        <w:rPr>
          <w:rFonts w:ascii="Arial" w:cs="Arial" w:eastAsia="Arial" w:hAnsi="Arial"/>
          <w:sz w:val="15"/>
          <w:szCs w:val="15"/>
          <w:color w:val="1A475F"/>
        </w:rPr>
        <w:t>Stephen H. Kramer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1A475F"/>
        </w:rPr>
        <w:t>Chief Executive Officer and President</w:t>
      </w:r>
    </w:p>
    <w:p>
      <w:pPr>
        <w:sectPr>
          <w:pgSz w:w="11900" w:h="16838" w:orient="portrait"/>
          <w:cols w:equalWidth="0" w:num="1">
            <w:col w:w="10340"/>
          </w:cols>
          <w:pgMar w:left="320" w:top="433" w:right="1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jc w:val="center"/>
        <w:ind w:right="-919"/>
        <w:spacing w:after="0"/>
        <w:rPr>
          <w:sz w:val="20"/>
          <w:szCs w:val="20"/>
          <w:color w:val="auto"/>
        </w:rPr>
      </w:pPr>
      <w:r>
        <w:rPr>
          <w:rFonts w:ascii="Arial" w:cs="Arial" w:eastAsia="Arial" w:hAnsi="Arial"/>
          <w:sz w:val="15"/>
          <w:szCs w:val="15"/>
          <w:b w:val="1"/>
          <w:bCs w:val="1"/>
          <w:color w:val="1A475F"/>
        </w:rPr>
        <w:t>Bright Horizons Family Solutions Inc.</w:t>
      </w:r>
    </w:p>
    <w:p>
      <w:pPr>
        <w:spacing w:after="0" w:line="186" w:lineRule="exact"/>
        <w:rPr>
          <w:sz w:val="20"/>
          <w:szCs w:val="20"/>
          <w:color w:val="auto"/>
        </w:rPr>
      </w:pPr>
    </w:p>
    <w:p>
      <w:pPr>
        <w:jc w:val="center"/>
        <w:ind w:right="-919"/>
        <w:spacing w:after="0"/>
        <w:rPr>
          <w:sz w:val="20"/>
          <w:szCs w:val="20"/>
          <w:color w:val="auto"/>
        </w:rPr>
      </w:pPr>
      <w:r>
        <w:rPr>
          <w:rFonts w:ascii="Arial" w:cs="Arial" w:eastAsia="Arial" w:hAnsi="Arial"/>
          <w:sz w:val="15"/>
          <w:szCs w:val="15"/>
          <w:b w:val="1"/>
          <w:bCs w:val="1"/>
          <w:color w:val="1A475F"/>
        </w:rPr>
        <w:t>NOTICE OF ANNUAL MEETING OF SHAREHOLDERS</w:t>
      </w:r>
    </w:p>
    <w:p>
      <w:pPr>
        <w:spacing w:after="0" w:line="188" w:lineRule="exact"/>
        <w:rPr>
          <w:sz w:val="20"/>
          <w:szCs w:val="20"/>
          <w:color w:val="auto"/>
        </w:rPr>
      </w:pPr>
    </w:p>
    <w:p>
      <w:pPr>
        <w:ind w:left="5180"/>
        <w:spacing w:after="0"/>
        <w:rPr>
          <w:sz w:val="20"/>
          <w:szCs w:val="20"/>
          <w:color w:val="auto"/>
        </w:rPr>
      </w:pPr>
      <w:r>
        <w:rPr>
          <w:rFonts w:ascii="Arial" w:cs="Arial" w:eastAsia="Arial" w:hAnsi="Arial"/>
          <w:sz w:val="15"/>
          <w:szCs w:val="15"/>
          <w:color w:val="1A475F"/>
        </w:rPr>
        <w:t>June 3, 2026</w:t>
      </w:r>
    </w:p>
    <w:p>
      <w:pPr>
        <w:spacing w:after="0" w:line="186" w:lineRule="exact"/>
        <w:rPr>
          <w:sz w:val="20"/>
          <w:szCs w:val="20"/>
          <w:color w:val="auto"/>
        </w:rPr>
      </w:pPr>
    </w:p>
    <w:p>
      <w:pPr>
        <w:jc w:val="both"/>
        <w:ind w:left="900" w:right="180" w:firstLine="756"/>
        <w:spacing w:after="0" w:line="255" w:lineRule="auto"/>
        <w:rPr>
          <w:sz w:val="20"/>
          <w:szCs w:val="20"/>
          <w:color w:val="auto"/>
        </w:rPr>
      </w:pPr>
      <w:r>
        <w:rPr>
          <w:rFonts w:ascii="Arial" w:cs="Arial" w:eastAsia="Arial" w:hAnsi="Arial"/>
          <w:sz w:val="15"/>
          <w:szCs w:val="15"/>
          <w:color w:val="1A475F"/>
        </w:rPr>
        <w:t xml:space="preserve">The 2026 Annual Meeting of Shareholders (the “Annual Meeting”) of Bright Horizons Family Solutions Inc. (the “Company” or “Bright Horizons”) will be held on Wednesday, June 3, 2026 at 8:00 a.m. (Eastern Time). This is a virtual meeting and shareholders may attend the Annual Meeting via live audio webcast by visiting </w:t>
      </w:r>
      <w:r>
        <w:rPr>
          <w:rFonts w:ascii="Arial" w:cs="Arial" w:eastAsia="Arial" w:hAnsi="Arial"/>
          <w:sz w:val="15"/>
          <w:szCs w:val="15"/>
          <w:i w:val="1"/>
          <w:iCs w:val="1"/>
          <w:color w:val="1A475F"/>
        </w:rPr>
        <w:t>www.virtualshareholdermeeting.com/BFAM2026</w:t>
      </w:r>
      <w:r>
        <w:rPr>
          <w:rFonts w:ascii="Arial" w:cs="Arial" w:eastAsia="Arial" w:hAnsi="Arial"/>
          <w:sz w:val="15"/>
          <w:szCs w:val="15"/>
          <w:color w:val="1A475F"/>
        </w:rPr>
        <w:t>. For further information on how to participate in the meeting, please see “Information about the Virtual Annual Meeting” in the Proxy Statement.</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At the Annual Meeting, we will ask shareholders to:</w:t>
      </w:r>
    </w:p>
    <w:p>
      <w:pPr>
        <w:spacing w:after="0" w:line="105" w:lineRule="exact"/>
        <w:rPr>
          <w:sz w:val="20"/>
          <w:szCs w:val="20"/>
          <w:color w:val="auto"/>
        </w:rPr>
      </w:pPr>
    </w:p>
    <w:p>
      <w:pPr>
        <w:ind w:left="2300" w:hanging="369"/>
        <w:spacing w:after="0"/>
        <w:tabs>
          <w:tab w:leader="none" w:pos="2300" w:val="left"/>
        </w:tabs>
        <w:numPr>
          <w:ilvl w:val="0"/>
          <w:numId w:val="4"/>
        </w:numPr>
        <w:rPr>
          <w:rFonts w:ascii="Arial" w:cs="Arial" w:eastAsia="Arial" w:hAnsi="Arial"/>
          <w:sz w:val="15"/>
          <w:szCs w:val="15"/>
          <w:color w:val="1A475F"/>
        </w:rPr>
      </w:pPr>
      <w:r>
        <w:rPr>
          <w:rFonts w:ascii="Arial" w:cs="Arial" w:eastAsia="Arial" w:hAnsi="Arial"/>
          <w:sz w:val="15"/>
          <w:szCs w:val="15"/>
          <w:color w:val="1A475F"/>
        </w:rPr>
        <w:t>Elect six director nominees with terms expiring at the Annual Meeting for a term of one year.</w:t>
      </w:r>
    </w:p>
    <w:p>
      <w:pPr>
        <w:spacing w:after="0" w:line="105" w:lineRule="exact"/>
        <w:rPr>
          <w:rFonts w:ascii="Arial" w:cs="Arial" w:eastAsia="Arial" w:hAnsi="Arial"/>
          <w:sz w:val="15"/>
          <w:szCs w:val="15"/>
          <w:color w:val="1A475F"/>
        </w:rPr>
      </w:pPr>
    </w:p>
    <w:p>
      <w:pPr>
        <w:ind w:left="2300" w:hanging="369"/>
        <w:spacing w:after="0"/>
        <w:tabs>
          <w:tab w:leader="none" w:pos="2300" w:val="left"/>
        </w:tabs>
        <w:numPr>
          <w:ilvl w:val="0"/>
          <w:numId w:val="4"/>
        </w:numPr>
        <w:rPr>
          <w:rFonts w:ascii="Arial" w:cs="Arial" w:eastAsia="Arial" w:hAnsi="Arial"/>
          <w:sz w:val="15"/>
          <w:szCs w:val="15"/>
          <w:color w:val="1A475F"/>
        </w:rPr>
      </w:pPr>
      <w:r>
        <w:rPr>
          <w:rFonts w:ascii="Arial" w:cs="Arial" w:eastAsia="Arial" w:hAnsi="Arial"/>
          <w:sz w:val="15"/>
          <w:szCs w:val="15"/>
          <w:color w:val="1A475F"/>
        </w:rPr>
        <w:t>Approve, on an advisory basis, the 2025 compensation paid by the Company to its named executive officers.</w:t>
      </w:r>
    </w:p>
    <w:p>
      <w:pPr>
        <w:spacing w:after="0" w:line="105" w:lineRule="exact"/>
        <w:rPr>
          <w:rFonts w:ascii="Arial" w:cs="Arial" w:eastAsia="Arial" w:hAnsi="Arial"/>
          <w:sz w:val="15"/>
          <w:szCs w:val="15"/>
          <w:color w:val="1A475F"/>
        </w:rPr>
      </w:pPr>
    </w:p>
    <w:p>
      <w:pPr>
        <w:ind w:left="2300" w:hanging="369"/>
        <w:spacing w:after="0" w:line="282" w:lineRule="auto"/>
        <w:tabs>
          <w:tab w:leader="none" w:pos="2300" w:val="left"/>
        </w:tabs>
        <w:numPr>
          <w:ilvl w:val="0"/>
          <w:numId w:val="4"/>
        </w:numPr>
        <w:rPr>
          <w:rFonts w:ascii="Arial" w:cs="Arial" w:eastAsia="Arial" w:hAnsi="Arial"/>
          <w:sz w:val="15"/>
          <w:szCs w:val="15"/>
          <w:color w:val="1A475F"/>
        </w:rPr>
      </w:pPr>
      <w:r>
        <w:rPr>
          <w:rFonts w:ascii="Arial" w:cs="Arial" w:eastAsia="Arial" w:hAnsi="Arial"/>
          <w:sz w:val="15"/>
          <w:szCs w:val="15"/>
          <w:color w:val="1A475F"/>
        </w:rPr>
        <w:t>Ratify the appointment of Deloitte &amp; Touche LLP as the independent registered public accounting firm of the Company for the fiscal year ending December 31, 2026.</w:t>
      </w:r>
    </w:p>
    <w:p>
      <w:pPr>
        <w:spacing w:after="0" w:line="46" w:lineRule="exact"/>
        <w:rPr>
          <w:rFonts w:ascii="Arial" w:cs="Arial" w:eastAsia="Arial" w:hAnsi="Arial"/>
          <w:sz w:val="15"/>
          <w:szCs w:val="15"/>
          <w:color w:val="1A475F"/>
        </w:rPr>
      </w:pPr>
    </w:p>
    <w:p>
      <w:pPr>
        <w:ind w:left="2300" w:right="600" w:hanging="369"/>
        <w:spacing w:after="0" w:line="282" w:lineRule="auto"/>
        <w:tabs>
          <w:tab w:leader="none" w:pos="2300" w:val="left"/>
        </w:tabs>
        <w:numPr>
          <w:ilvl w:val="0"/>
          <w:numId w:val="4"/>
        </w:numPr>
        <w:rPr>
          <w:rFonts w:ascii="Arial" w:cs="Arial" w:eastAsia="Arial" w:hAnsi="Arial"/>
          <w:sz w:val="15"/>
          <w:szCs w:val="15"/>
          <w:color w:val="1A475F"/>
        </w:rPr>
      </w:pPr>
      <w:r>
        <w:rPr>
          <w:rFonts w:ascii="Arial" w:cs="Arial" w:eastAsia="Arial" w:hAnsi="Arial"/>
          <w:sz w:val="15"/>
          <w:szCs w:val="15"/>
          <w:color w:val="1A475F"/>
        </w:rPr>
        <w:t>Transact any other business properly brought before the meeting or any adjournment or postponement of the meeting.</w:t>
      </w:r>
    </w:p>
    <w:p>
      <w:pPr>
        <w:spacing w:after="0" w:line="127" w:lineRule="exact"/>
        <w:rPr>
          <w:sz w:val="20"/>
          <w:szCs w:val="20"/>
          <w:color w:val="auto"/>
        </w:rPr>
      </w:pPr>
    </w:p>
    <w:p>
      <w:pPr>
        <w:ind w:left="900" w:right="340" w:firstLine="756"/>
        <w:spacing w:after="0" w:line="282" w:lineRule="auto"/>
        <w:rPr>
          <w:sz w:val="20"/>
          <w:szCs w:val="20"/>
          <w:color w:val="auto"/>
        </w:rPr>
      </w:pPr>
      <w:r>
        <w:rPr>
          <w:rFonts w:ascii="Arial" w:cs="Arial" w:eastAsia="Arial" w:hAnsi="Arial"/>
          <w:sz w:val="15"/>
          <w:szCs w:val="15"/>
          <w:color w:val="1A475F"/>
        </w:rPr>
        <w:t>Shareholders of record at the close of business on April 8, 2026 are entitled to notice of, and entitled to vote at, the Annual Meeting and any adjournments or postponements thereof.</w:t>
      </w:r>
    </w:p>
    <w:p>
      <w:pPr>
        <w:spacing w:after="0" w:line="35" w:lineRule="exact"/>
        <w:rPr>
          <w:sz w:val="20"/>
          <w:szCs w:val="20"/>
          <w:color w:val="auto"/>
        </w:rPr>
      </w:pPr>
    </w:p>
    <w:p>
      <w:pPr>
        <w:ind w:left="900" w:right="100" w:firstLine="756"/>
        <w:spacing w:after="0" w:line="251" w:lineRule="auto"/>
        <w:rPr>
          <w:sz w:val="20"/>
          <w:szCs w:val="20"/>
          <w:color w:val="auto"/>
        </w:rPr>
      </w:pPr>
      <w:r>
        <w:rPr>
          <w:rFonts w:ascii="Arial" w:cs="Arial" w:eastAsia="Arial" w:hAnsi="Arial"/>
          <w:sz w:val="15"/>
          <w:szCs w:val="15"/>
          <w:color w:val="1A475F"/>
        </w:rPr>
        <w:t xml:space="preserve">To attend the Annual Meeting, you must be a Bright Horizons shareholder as of the close of business on the record date of April 8, 2026 or hold a valid proxy for the Annual Meeting from such a shareholder. To be admitted to the virtual Annual Meeting, visit </w:t>
      </w:r>
      <w:r>
        <w:rPr>
          <w:rFonts w:ascii="Arial" w:cs="Arial" w:eastAsia="Arial" w:hAnsi="Arial"/>
          <w:sz w:val="15"/>
          <w:szCs w:val="15"/>
          <w:i w:val="1"/>
          <w:iCs w:val="1"/>
          <w:color w:val="1A475F"/>
        </w:rPr>
        <w:t xml:space="preserve">www.virtualshareholdermeeting.com/BFAM2026 </w:t>
      </w:r>
      <w:r>
        <w:rPr>
          <w:rFonts w:ascii="Arial" w:cs="Arial" w:eastAsia="Arial" w:hAnsi="Arial"/>
          <w:sz w:val="15"/>
          <w:szCs w:val="15"/>
          <w:color w:val="1A475F"/>
        </w:rPr>
        <w:t>and enter your 16-digit control number included on the Notice of Internet Availability of</w:t>
      </w:r>
      <w:r>
        <w:rPr>
          <w:rFonts w:ascii="Arial" w:cs="Arial" w:eastAsia="Arial" w:hAnsi="Arial"/>
          <w:sz w:val="15"/>
          <w:szCs w:val="15"/>
          <w:i w:val="1"/>
          <w:iCs w:val="1"/>
          <w:color w:val="1A475F"/>
        </w:rPr>
        <w:t xml:space="preserve"> </w:t>
      </w:r>
      <w:r>
        <w:rPr>
          <w:rFonts w:ascii="Arial" w:cs="Arial" w:eastAsia="Arial" w:hAnsi="Arial"/>
          <w:sz w:val="15"/>
          <w:szCs w:val="15"/>
          <w:color w:val="1A475F"/>
        </w:rPr>
        <w:t>Proxy Materials, proxy card or voting instruction form. We encourage you to log-in prior to the start time for the meeting. You will have the opportunity to vote your shares and ask questions at the Annual Meeting by following the instructions available.</w:t>
      </w:r>
    </w:p>
    <w:p>
      <w:pPr>
        <w:spacing w:after="0" w:line="244" w:lineRule="exact"/>
        <w:rPr>
          <w:sz w:val="20"/>
          <w:szCs w:val="20"/>
          <w:color w:val="auto"/>
        </w:rPr>
      </w:pPr>
    </w:p>
    <w:p>
      <w:pPr>
        <w:ind w:left="5440"/>
        <w:spacing w:after="0"/>
        <w:rPr>
          <w:sz w:val="20"/>
          <w:szCs w:val="20"/>
          <w:color w:val="auto"/>
        </w:rPr>
      </w:pPr>
      <w:r>
        <w:rPr>
          <w:rFonts w:ascii="Arial" w:cs="Arial" w:eastAsia="Arial" w:hAnsi="Arial"/>
          <w:sz w:val="15"/>
          <w:szCs w:val="15"/>
          <w:color w:val="1A475F"/>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76200</wp:posOffset>
            </wp:positionV>
            <wp:extent cx="93345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3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100"/>
        <w:spacing w:after="0"/>
        <w:rPr>
          <w:sz w:val="20"/>
          <w:szCs w:val="20"/>
          <w:color w:val="auto"/>
        </w:rPr>
      </w:pPr>
      <w:r>
        <w:rPr>
          <w:rFonts w:ascii="Arial" w:cs="Arial" w:eastAsia="Arial" w:hAnsi="Arial"/>
          <w:sz w:val="15"/>
          <w:szCs w:val="15"/>
          <w:color w:val="1A475F"/>
        </w:rPr>
        <w:t>       John G. Casagrande</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5"/>
          <w:szCs w:val="15"/>
          <w:i w:val="1"/>
          <w:iCs w:val="1"/>
          <w:color w:val="1A475F"/>
        </w:rPr>
        <w:t>       Secretary</w:t>
      </w:r>
    </w:p>
    <w:p>
      <w:pPr>
        <w:spacing w:after="0" w:line="265" w:lineRule="exact"/>
        <w:rPr>
          <w:sz w:val="20"/>
          <w:szCs w:val="20"/>
          <w:color w:val="auto"/>
        </w:rPr>
      </w:pPr>
    </w:p>
    <w:p>
      <w:pPr>
        <w:ind w:left="900"/>
        <w:spacing w:after="0"/>
        <w:rPr>
          <w:sz w:val="20"/>
          <w:szCs w:val="20"/>
          <w:color w:val="auto"/>
        </w:rPr>
      </w:pPr>
      <w:r>
        <w:rPr>
          <w:rFonts w:ascii="Arial" w:cs="Arial" w:eastAsia="Arial" w:hAnsi="Arial"/>
          <w:sz w:val="15"/>
          <w:szCs w:val="15"/>
          <w:color w:val="1A475F"/>
        </w:rPr>
        <w:t>Bright Horizons Family Solutions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1A475F"/>
        </w:rPr>
        <w:t>2 Wells Avenue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1A475F"/>
        </w:rPr>
        <w:t>Newton, Massachusetts 02459</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1A475F"/>
        </w:rPr>
        <w:t>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1148080</wp:posOffset>
            </wp:positionV>
            <wp:extent cx="6012815" cy="1095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12815" cy="1095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1A475F"/>
        </w:rPr>
        <w:t>Important Notice Regarding the Availability of Proxy Materials for the Annual Meeting</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1A475F"/>
        </w:rPr>
        <w:t>to be Held on June 3, 2026</w:t>
      </w:r>
    </w:p>
    <w:p>
      <w:pPr>
        <w:spacing w:after="0" w:line="89" w:lineRule="exact"/>
        <w:rPr>
          <w:sz w:val="20"/>
          <w:szCs w:val="20"/>
          <w:color w:val="auto"/>
        </w:rPr>
      </w:pPr>
    </w:p>
    <w:p>
      <w:pPr>
        <w:jc w:val="center"/>
        <w:ind w:left="1360" w:right="100"/>
        <w:spacing w:after="0" w:line="252" w:lineRule="auto"/>
        <w:rPr>
          <w:sz w:val="20"/>
          <w:szCs w:val="20"/>
          <w:color w:val="auto"/>
        </w:rPr>
      </w:pPr>
      <w:r>
        <w:rPr>
          <w:rFonts w:ascii="Arial" w:cs="Arial" w:eastAsia="Arial" w:hAnsi="Arial"/>
          <w:sz w:val="15"/>
          <w:szCs w:val="15"/>
          <w:b w:val="1"/>
          <w:bCs w:val="1"/>
          <w:color w:val="1A475F"/>
        </w:rPr>
        <w:t xml:space="preserve">We are mailing to our shareholders the Notice containing instructions on how to access our Proxy Statement and our 2025 Annual Report on Form 10-K over the Internet. The Notice provides instructions on how to vote and includes instructions on how to receive a copy of our proxy materials and annual report by mail or e-mail. The Notice, our Proxy Statement and our 2025 Annual Report on Form 10-K can be accessed directly at </w:t>
      </w:r>
      <w:r>
        <w:rPr>
          <w:rFonts w:ascii="Arial" w:cs="Arial" w:eastAsia="Arial" w:hAnsi="Arial"/>
          <w:sz w:val="15"/>
          <w:szCs w:val="15"/>
          <w:b w:val="1"/>
          <w:bCs w:val="1"/>
          <w:i w:val="1"/>
          <w:iCs w:val="1"/>
          <w:color w:val="1A475F"/>
        </w:rPr>
        <w:t>www.proxyvote.com</w:t>
      </w:r>
      <w:r>
        <w:rPr>
          <w:rFonts w:ascii="Arial" w:cs="Arial" w:eastAsia="Arial" w:hAnsi="Arial"/>
          <w:sz w:val="15"/>
          <w:szCs w:val="15"/>
          <w:b w:val="1"/>
          <w:bCs w:val="1"/>
          <w:color w:val="1A475F"/>
        </w:rPr>
        <w:t xml:space="preserve"> using the control number located on the Notice. These documents are also available without charge to any shareholder who wishes to receive a paper copy by visiting the Investor Relations section of our website at </w:t>
      </w:r>
      <w:r>
        <w:rPr>
          <w:rFonts w:ascii="Arial" w:cs="Arial" w:eastAsia="Arial" w:hAnsi="Arial"/>
          <w:sz w:val="15"/>
          <w:szCs w:val="15"/>
          <w:b w:val="1"/>
          <w:bCs w:val="1"/>
          <w:i w:val="1"/>
          <w:iCs w:val="1"/>
          <w:color w:val="1A475F"/>
        </w:rPr>
        <w:t>investors.brighthorizons.com</w:t>
      </w:r>
      <w:r>
        <w:rPr>
          <w:rFonts w:ascii="Arial" w:cs="Arial" w:eastAsia="Arial" w:hAnsi="Arial"/>
          <w:sz w:val="15"/>
          <w:szCs w:val="15"/>
          <w:b w:val="1"/>
          <w:bCs w:val="1"/>
          <w:color w:val="1A475F"/>
        </w:rPr>
        <w:t xml:space="preserve"> under “Annual Meeting Materials.”</w:t>
      </w:r>
    </w:p>
    <w:p>
      <w:pPr>
        <w:sectPr>
          <w:pgSz w:w="11900" w:h="16838" w:orient="portrait"/>
          <w:cols w:equalWidth="0" w:num="1">
            <w:col w:w="10340"/>
          </w:cols>
          <w:pgMar w:left="320" w:top="433" w:right="1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jc w:val="right"/>
        <w:ind w:right="3860"/>
        <w:spacing w:after="0"/>
        <w:rPr>
          <w:sz w:val="20"/>
          <w:szCs w:val="20"/>
          <w:color w:val="auto"/>
        </w:rPr>
      </w:pPr>
      <w:r>
        <w:rPr>
          <w:rFonts w:ascii="Arial" w:cs="Arial" w:eastAsia="Arial" w:hAnsi="Arial"/>
          <w:sz w:val="15"/>
          <w:szCs w:val="15"/>
          <w:b w:val="1"/>
          <w:bCs w:val="1"/>
          <w:u w:val="single" w:color="auto"/>
          <w:color w:val="1A475F"/>
        </w:rPr>
        <w:t>TABLE OF CONTENTS</w:t>
      </w:r>
    </w:p>
    <w:p>
      <w:pPr>
        <w:sectPr>
          <w:pgSz w:w="11900" w:h="16838" w:orient="portrait"/>
          <w:cols w:equalWidth="0" w:num="1">
            <w:col w:w="10300"/>
          </w:cols>
          <w:pgMar w:left="320" w:top="433" w:right="1279" w:bottom="1440" w:gutter="0" w:footer="0" w:header="0"/>
        </w:sectPr>
      </w:pPr>
    </w:p>
    <w:p>
      <w:pPr>
        <w:spacing w:after="0" w:line="29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04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98"/>
              </w:rPr>
              <w:t>Proxy Statement</w:t>
            </w:r>
          </w:p>
        </w:tc>
        <w:tc>
          <w:tcPr>
            <w:tcW w:w="3040" w:type="dxa"/>
            <w:vAlign w:val="bottom"/>
            <w:gridSpan w:val="26"/>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1</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76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color w:val="0000EE"/>
                <w:w w:val="98"/>
              </w:rPr>
              <w:t>Information about the Virtual Annual Meeting</w:t>
            </w:r>
          </w:p>
        </w:tc>
        <w:tc>
          <w:tcPr>
            <w:tcW w:w="1040" w:type="dxa"/>
            <w:vAlign w:val="bottom"/>
            <w:gridSpan w:val="6"/>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1</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74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w w:val="98"/>
              </w:rPr>
              <w:t>Proxies, Voting Procedures and How to Vote</w:t>
            </w:r>
          </w:p>
        </w:tc>
        <w:tc>
          <w:tcPr>
            <w:tcW w:w="1060" w:type="dxa"/>
            <w:vAlign w:val="bottom"/>
            <w:gridSpan w:val="7"/>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00" w:type="dxa"/>
            <w:vAlign w:val="bottom"/>
            <w:gridSpan w:val="27"/>
          </w:tcPr>
          <w:p>
            <w:pPr>
              <w:spacing w:after="0"/>
              <w:rPr>
                <w:sz w:val="20"/>
                <w:szCs w:val="20"/>
                <w:color w:val="auto"/>
              </w:rPr>
            </w:pPr>
            <w:r>
              <w:rPr>
                <w:rFonts w:ascii="Arial" w:cs="Arial" w:eastAsia="Arial" w:hAnsi="Arial"/>
                <w:sz w:val="14"/>
                <w:szCs w:val="14"/>
                <w:color w:val="0000EE"/>
              </w:rPr>
              <w:t>Shareholders Entitled to Vote</w:t>
            </w:r>
          </w:p>
        </w:tc>
        <w:tc>
          <w:tcPr>
            <w:tcW w:w="400" w:type="dxa"/>
            <w:vAlign w:val="bottom"/>
          </w:tcPr>
          <w:p>
            <w:pPr>
              <w:jc w:val="right"/>
              <w:spacing w:after="0"/>
              <w:rPr>
                <w:sz w:val="20"/>
                <w:szCs w:val="20"/>
                <w:color w:val="auto"/>
              </w:rPr>
            </w:pPr>
            <w:r>
              <w:rPr>
                <w:rFonts w:ascii="Arial" w:cs="Arial" w:eastAsia="Arial" w:hAnsi="Arial"/>
                <w:sz w:val="14"/>
                <w:szCs w:val="14"/>
                <w:color w:val="1A475F"/>
              </w:rPr>
              <w:t>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3800" w:type="dxa"/>
            <w:vAlign w:val="bottom"/>
            <w:gridSpan w:val="27"/>
          </w:tcPr>
          <w:p>
            <w:pPr>
              <w:spacing w:after="0"/>
              <w:rPr>
                <w:sz w:val="20"/>
                <w:szCs w:val="20"/>
                <w:color w:val="auto"/>
              </w:rPr>
            </w:pPr>
            <w:r>
              <w:rPr>
                <w:rFonts w:ascii="Arial" w:cs="Arial" w:eastAsia="Arial" w:hAnsi="Arial"/>
                <w:sz w:val="14"/>
                <w:szCs w:val="14"/>
                <w:color w:val="0000EE"/>
                <w:w w:val="99"/>
              </w:rPr>
              <w:t>Quorum, Voting Requirements and Board Recommendations</w:t>
            </w:r>
          </w:p>
        </w:tc>
        <w:tc>
          <w:tcPr>
            <w:tcW w:w="400" w:type="dxa"/>
            <w:vAlign w:val="bottom"/>
          </w:tcPr>
          <w:p>
            <w:pPr>
              <w:jc w:val="right"/>
              <w:spacing w:after="0"/>
              <w:rPr>
                <w:sz w:val="20"/>
                <w:szCs w:val="20"/>
                <w:color w:val="auto"/>
              </w:rPr>
            </w:pPr>
            <w:r>
              <w:rPr>
                <w:rFonts w:ascii="Arial" w:cs="Arial" w:eastAsia="Arial" w:hAnsi="Arial"/>
                <w:sz w:val="14"/>
                <w:szCs w:val="14"/>
                <w:color w:val="1A475F"/>
              </w:rPr>
              <w:t>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740" w:type="dxa"/>
            <w:vAlign w:val="bottom"/>
            <w:tcBorders>
              <w:top w:val="single" w:sz="8" w:color="0000EE"/>
            </w:tcBorders>
            <w:gridSpan w:val="26"/>
          </w:tcPr>
          <w:p>
            <w:pPr>
              <w:spacing w:after="0"/>
              <w:rPr>
                <w:sz w:val="20"/>
                <w:szCs w:val="20"/>
                <w:color w:val="auto"/>
              </w:rPr>
            </w:pPr>
            <w:r>
              <w:rPr>
                <w:rFonts w:ascii="Arial" w:cs="Arial" w:eastAsia="Arial" w:hAnsi="Arial"/>
                <w:sz w:val="14"/>
                <w:szCs w:val="14"/>
                <w:color w:val="0000EE"/>
              </w:rPr>
              <w:t>Electronic Delivery of Proxy Materials</w:t>
            </w:r>
          </w:p>
        </w:tc>
        <w:tc>
          <w:tcPr>
            <w:tcW w:w="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8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w w:val="98"/>
              </w:rPr>
              <w:t>Proposal 1—Election of Directors</w:t>
            </w:r>
          </w:p>
        </w:tc>
        <w:tc>
          <w:tcPr>
            <w:tcW w:w="2000" w:type="dxa"/>
            <w:vAlign w:val="bottom"/>
            <w:gridSpan w:val="19"/>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4</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00" w:type="dxa"/>
            <w:vAlign w:val="bottom"/>
            <w:gridSpan w:val="27"/>
          </w:tcPr>
          <w:p>
            <w:pPr>
              <w:spacing w:after="0"/>
              <w:rPr>
                <w:sz w:val="20"/>
                <w:szCs w:val="20"/>
                <w:color w:val="auto"/>
              </w:rPr>
            </w:pPr>
            <w:r>
              <w:rPr>
                <w:rFonts w:ascii="Arial" w:cs="Arial" w:eastAsia="Arial" w:hAnsi="Arial"/>
                <w:sz w:val="14"/>
                <w:szCs w:val="14"/>
                <w:color w:val="0000EE"/>
              </w:rPr>
              <w:t>Nominees for Election</w:t>
            </w:r>
          </w:p>
        </w:tc>
        <w:tc>
          <w:tcPr>
            <w:tcW w:w="400" w:type="dxa"/>
            <w:vAlign w:val="bottom"/>
          </w:tcPr>
          <w:p>
            <w:pPr>
              <w:jc w:val="right"/>
              <w:spacing w:after="0"/>
              <w:rPr>
                <w:sz w:val="20"/>
                <w:szCs w:val="20"/>
                <w:color w:val="auto"/>
              </w:rPr>
            </w:pPr>
            <w:r>
              <w:rPr>
                <w:rFonts w:ascii="Arial" w:cs="Arial" w:eastAsia="Arial" w:hAnsi="Arial"/>
                <w:sz w:val="14"/>
                <w:szCs w:val="14"/>
                <w:color w:val="1A475F"/>
              </w:rPr>
              <w:t>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214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w w:val="98"/>
              </w:rPr>
              <w:t>Directors Not Standing for Election</w:t>
            </w:r>
          </w:p>
        </w:tc>
        <w:tc>
          <w:tcPr>
            <w:tcW w:w="1660" w:type="dxa"/>
            <w:vAlign w:val="bottom"/>
            <w:gridSpan w:val="13"/>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8</w:t>
            </w:r>
          </w:p>
        </w:tc>
        <w:tc>
          <w:tcPr>
            <w:tcW w:w="0" w:type="dxa"/>
            <w:vAlign w:val="bottom"/>
          </w:tcPr>
          <w:p>
            <w:pPr>
              <w:spacing w:after="0"/>
              <w:rPr>
                <w:sz w:val="1"/>
                <w:szCs w:val="1"/>
                <w:color w:val="auto"/>
              </w:rPr>
            </w:pPr>
          </w:p>
        </w:tc>
      </w:tr>
      <w:tr>
        <w:trPr>
          <w:trHeight w:val="188"/>
        </w:trPr>
        <w:tc>
          <w:tcPr>
            <w:tcW w:w="144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9"/>
              </w:rPr>
              <w:t>Director Compensation</w:t>
            </w:r>
          </w:p>
        </w:tc>
        <w:tc>
          <w:tcPr>
            <w:tcW w:w="2640" w:type="dxa"/>
            <w:vAlign w:val="bottom"/>
            <w:gridSpan w:val="22"/>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9</w:t>
            </w:r>
          </w:p>
        </w:tc>
        <w:tc>
          <w:tcPr>
            <w:tcW w:w="0" w:type="dxa"/>
            <w:vAlign w:val="bottom"/>
          </w:tcPr>
          <w:p>
            <w:pPr>
              <w:spacing w:after="0"/>
              <w:rPr>
                <w:sz w:val="1"/>
                <w:szCs w:val="1"/>
                <w:color w:val="auto"/>
              </w:rPr>
            </w:pPr>
          </w:p>
        </w:tc>
      </w:tr>
      <w:tr>
        <w:trPr>
          <w:trHeight w:val="188"/>
        </w:trPr>
        <w:tc>
          <w:tcPr>
            <w:tcW w:w="21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w w:val="98"/>
              </w:rPr>
              <w:t>Board of Directors and Committees</w:t>
            </w:r>
          </w:p>
        </w:tc>
        <w:tc>
          <w:tcPr>
            <w:tcW w:w="1900" w:type="dxa"/>
            <w:vAlign w:val="bottom"/>
            <w:gridSpan w:val="17"/>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11</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98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w w:val="97"/>
              </w:rPr>
              <w:t>Board Structure</w:t>
            </w:r>
          </w:p>
        </w:tc>
        <w:tc>
          <w:tcPr>
            <w:tcW w:w="2820" w:type="dxa"/>
            <w:vAlign w:val="bottom"/>
            <w:gridSpan w:val="24"/>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11</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00" w:type="dxa"/>
            <w:vAlign w:val="bottom"/>
            <w:gridSpan w:val="27"/>
          </w:tcPr>
          <w:p>
            <w:pPr>
              <w:spacing w:after="0"/>
              <w:rPr>
                <w:sz w:val="20"/>
                <w:szCs w:val="20"/>
                <w:color w:val="auto"/>
              </w:rPr>
            </w:pPr>
            <w:r>
              <w:rPr>
                <w:rFonts w:ascii="Arial" w:cs="Arial" w:eastAsia="Arial" w:hAnsi="Arial"/>
                <w:sz w:val="14"/>
                <w:szCs w:val="14"/>
                <w:color w:val="0000EE"/>
              </w:rPr>
              <w:t>Board Meetings and Executive Sessions</w:t>
            </w:r>
          </w:p>
        </w:tc>
        <w:tc>
          <w:tcPr>
            <w:tcW w:w="400" w:type="dxa"/>
            <w:vAlign w:val="bottom"/>
          </w:tcPr>
          <w:p>
            <w:pPr>
              <w:jc w:val="right"/>
              <w:spacing w:after="0"/>
              <w:rPr>
                <w:sz w:val="20"/>
                <w:szCs w:val="20"/>
                <w:color w:val="auto"/>
              </w:rPr>
            </w:pPr>
            <w:r>
              <w:rPr>
                <w:rFonts w:ascii="Arial" w:cs="Arial" w:eastAsia="Arial" w:hAnsi="Arial"/>
                <w:sz w:val="14"/>
                <w:szCs w:val="14"/>
                <w:color w:val="1A475F"/>
              </w:rPr>
              <w:t>11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254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w w:val="98"/>
              </w:rPr>
              <w:t>Committees and Committee Composition</w:t>
            </w:r>
          </w:p>
        </w:tc>
        <w:tc>
          <w:tcPr>
            <w:tcW w:w="1260" w:type="dxa"/>
            <w:vAlign w:val="bottom"/>
            <w:gridSpan w:val="8"/>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11</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52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w w:val="98"/>
              </w:rPr>
              <w:t>Board Leadership and Presiding Director</w:t>
            </w:r>
          </w:p>
        </w:tc>
        <w:tc>
          <w:tcPr>
            <w:tcW w:w="1280" w:type="dxa"/>
            <w:vAlign w:val="bottom"/>
            <w:gridSpan w:val="9"/>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14</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3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Succession Planning</w:t>
            </w:r>
          </w:p>
        </w:tc>
        <w:tc>
          <w:tcPr>
            <w:tcW w:w="2440" w:type="dxa"/>
            <w:vAlign w:val="bottom"/>
            <w:gridSpan w:val="21"/>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14</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00" w:type="dxa"/>
            <w:vAlign w:val="bottom"/>
            <w:gridSpan w:val="27"/>
          </w:tcPr>
          <w:p>
            <w:pPr>
              <w:spacing w:after="0"/>
              <w:rPr>
                <w:sz w:val="20"/>
                <w:szCs w:val="20"/>
                <w:color w:val="auto"/>
              </w:rPr>
            </w:pPr>
            <w:r>
              <w:rPr>
                <w:rFonts w:ascii="Arial" w:cs="Arial" w:eastAsia="Arial" w:hAnsi="Arial"/>
                <w:sz w:val="14"/>
                <w:szCs w:val="14"/>
                <w:color w:val="0000EE"/>
              </w:rPr>
              <w:t>Board’s Role in Risk Oversight</w:t>
            </w:r>
          </w:p>
        </w:tc>
        <w:tc>
          <w:tcPr>
            <w:tcW w:w="400" w:type="dxa"/>
            <w:vAlign w:val="bottom"/>
          </w:tcPr>
          <w:p>
            <w:pPr>
              <w:jc w:val="right"/>
              <w:spacing w:after="0"/>
              <w:rPr>
                <w:sz w:val="20"/>
                <w:szCs w:val="20"/>
                <w:color w:val="auto"/>
              </w:rPr>
            </w:pPr>
            <w:r>
              <w:rPr>
                <w:rFonts w:ascii="Arial" w:cs="Arial" w:eastAsia="Arial" w:hAnsi="Arial"/>
                <w:sz w:val="14"/>
                <w:szCs w:val="14"/>
                <w:color w:val="1A475F"/>
              </w:rPr>
              <w:t>14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192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w w:val="98"/>
              </w:rPr>
              <w:t>Communications with Directors</w:t>
            </w:r>
          </w:p>
        </w:tc>
        <w:tc>
          <w:tcPr>
            <w:tcW w:w="1880" w:type="dxa"/>
            <w:vAlign w:val="bottom"/>
            <w:gridSpan w:val="16"/>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16</w:t>
            </w:r>
          </w:p>
        </w:tc>
        <w:tc>
          <w:tcPr>
            <w:tcW w:w="0" w:type="dxa"/>
            <w:vAlign w:val="bottom"/>
          </w:tcPr>
          <w:p>
            <w:pPr>
              <w:spacing w:after="0"/>
              <w:rPr>
                <w:sz w:val="1"/>
                <w:szCs w:val="1"/>
                <w:color w:val="auto"/>
              </w:rPr>
            </w:pPr>
          </w:p>
        </w:tc>
      </w:tr>
      <w:tr>
        <w:trPr>
          <w:trHeight w:val="188"/>
        </w:trPr>
        <w:tc>
          <w:tcPr>
            <w:tcW w:w="314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0000EE"/>
                <w:w w:val="98"/>
              </w:rPr>
              <w:t>Corporate Governance and Director Independence</w:t>
            </w:r>
          </w:p>
        </w:tc>
        <w:tc>
          <w:tcPr>
            <w:tcW w:w="940" w:type="dxa"/>
            <w:vAlign w:val="bottom"/>
            <w:gridSpan w:val="5"/>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17</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00" w:type="dxa"/>
            <w:vAlign w:val="bottom"/>
            <w:gridSpan w:val="27"/>
          </w:tcPr>
          <w:p>
            <w:pPr>
              <w:spacing w:after="0"/>
              <w:rPr>
                <w:sz w:val="20"/>
                <w:szCs w:val="20"/>
                <w:color w:val="auto"/>
              </w:rPr>
            </w:pPr>
            <w:r>
              <w:rPr>
                <w:rFonts w:ascii="Arial" w:cs="Arial" w:eastAsia="Arial" w:hAnsi="Arial"/>
                <w:sz w:val="14"/>
                <w:szCs w:val="14"/>
                <w:color w:val="0000EE"/>
              </w:rPr>
              <w:t>Corporate Governance Highlights</w:t>
            </w:r>
          </w:p>
        </w:tc>
        <w:tc>
          <w:tcPr>
            <w:tcW w:w="400" w:type="dxa"/>
            <w:vAlign w:val="bottom"/>
          </w:tcPr>
          <w:p>
            <w:pPr>
              <w:jc w:val="right"/>
              <w:spacing w:after="0"/>
              <w:rPr>
                <w:sz w:val="20"/>
                <w:szCs w:val="20"/>
                <w:color w:val="auto"/>
              </w:rPr>
            </w:pPr>
            <w:r>
              <w:rPr>
                <w:rFonts w:ascii="Arial" w:cs="Arial" w:eastAsia="Arial" w:hAnsi="Arial"/>
                <w:sz w:val="14"/>
                <w:szCs w:val="14"/>
                <w:color w:val="1A475F"/>
              </w:rPr>
              <w:t>17</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060" w:type="dxa"/>
            <w:vAlign w:val="bottom"/>
            <w:tcBorders>
              <w:top w:val="single" w:sz="8" w:color="0000EE"/>
            </w:tcBorders>
            <w:gridSpan w:val="13"/>
          </w:tcPr>
          <w:p>
            <w:pPr>
              <w:spacing w:after="0"/>
              <w:rPr>
                <w:sz w:val="20"/>
                <w:szCs w:val="20"/>
                <w:color w:val="auto"/>
              </w:rPr>
            </w:pPr>
            <w:r>
              <w:rPr>
                <w:rFonts w:ascii="Arial" w:cs="Arial" w:eastAsia="Arial" w:hAnsi="Arial"/>
                <w:sz w:val="14"/>
                <w:szCs w:val="14"/>
                <w:color w:val="0000EE"/>
              </w:rPr>
              <w:t>Shareholder Engagement</w:t>
            </w:r>
          </w:p>
        </w:tc>
        <w:tc>
          <w:tcPr>
            <w:tcW w:w="1740" w:type="dxa"/>
            <w:vAlign w:val="bottom"/>
            <w:gridSpan w:val="14"/>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18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3800" w:type="dxa"/>
            <w:vAlign w:val="bottom"/>
            <w:gridSpan w:val="27"/>
          </w:tcPr>
          <w:p>
            <w:pPr>
              <w:spacing w:after="0"/>
              <w:rPr>
                <w:sz w:val="20"/>
                <w:szCs w:val="20"/>
                <w:color w:val="auto"/>
              </w:rPr>
            </w:pPr>
            <w:r>
              <w:rPr>
                <w:rFonts w:ascii="Arial" w:cs="Arial" w:eastAsia="Arial" w:hAnsi="Arial"/>
                <w:sz w:val="14"/>
                <w:szCs w:val="14"/>
                <w:color w:val="0000EE"/>
              </w:rPr>
              <w:t>Board Refreshment, Composition and Expertise</w:t>
            </w:r>
          </w:p>
        </w:tc>
        <w:tc>
          <w:tcPr>
            <w:tcW w:w="400" w:type="dxa"/>
            <w:vAlign w:val="bottom"/>
          </w:tcPr>
          <w:p>
            <w:pPr>
              <w:jc w:val="right"/>
              <w:spacing w:after="0"/>
              <w:rPr>
                <w:sz w:val="20"/>
                <w:szCs w:val="20"/>
                <w:color w:val="auto"/>
              </w:rPr>
            </w:pPr>
            <w:r>
              <w:rPr>
                <w:rFonts w:ascii="Arial" w:cs="Arial" w:eastAsia="Arial" w:hAnsi="Arial"/>
                <w:sz w:val="14"/>
                <w:szCs w:val="14"/>
                <w:color w:val="1A475F"/>
              </w:rPr>
              <w:t>19</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3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rPr>
              <w:t>Board Independence</w:t>
            </w:r>
          </w:p>
        </w:tc>
        <w:tc>
          <w:tcPr>
            <w:tcW w:w="1580" w:type="dxa"/>
            <w:vAlign w:val="bottom"/>
            <w:tcBorders>
              <w:top w:val="single" w:sz="8" w:color="0000EE"/>
            </w:tcBorders>
            <w:gridSpan w:val="17"/>
          </w:tcPr>
          <w:p>
            <w:pPr>
              <w:spacing w:after="0"/>
              <w:rPr>
                <w:sz w:val="16"/>
                <w:szCs w:val="16"/>
                <w:color w:val="auto"/>
              </w:rPr>
            </w:pPr>
          </w:p>
        </w:tc>
        <w:tc>
          <w:tcPr>
            <w:tcW w:w="860" w:type="dxa"/>
            <w:vAlign w:val="bottom"/>
            <w:gridSpan w:val="4"/>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21</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00" w:type="dxa"/>
            <w:vAlign w:val="bottom"/>
            <w:gridSpan w:val="27"/>
          </w:tcPr>
          <w:p>
            <w:pPr>
              <w:spacing w:after="0"/>
              <w:rPr>
                <w:sz w:val="20"/>
                <w:szCs w:val="20"/>
                <w:color w:val="auto"/>
              </w:rPr>
            </w:pPr>
            <w:r>
              <w:rPr>
                <w:rFonts w:ascii="Arial" w:cs="Arial" w:eastAsia="Arial" w:hAnsi="Arial"/>
                <w:sz w:val="14"/>
                <w:szCs w:val="14"/>
                <w:color w:val="0000EE"/>
              </w:rPr>
              <w:t>Board and Committee Annual Performance Reviews, Peer</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1A475F"/>
              </w:rPr>
              <w:t>21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3600" w:type="dxa"/>
            <w:vAlign w:val="bottom"/>
            <w:tcBorders>
              <w:top w:val="single" w:sz="8" w:color="0000EE"/>
            </w:tcBorders>
            <w:gridSpan w:val="25"/>
          </w:tcPr>
          <w:p>
            <w:pPr>
              <w:spacing w:after="0" w:line="142" w:lineRule="exact"/>
              <w:rPr>
                <w:sz w:val="20"/>
                <w:szCs w:val="20"/>
                <w:color w:val="auto"/>
              </w:rPr>
            </w:pPr>
            <w:r>
              <w:rPr>
                <w:rFonts w:ascii="Arial" w:cs="Arial" w:eastAsia="Arial" w:hAnsi="Arial"/>
                <w:sz w:val="14"/>
                <w:szCs w:val="14"/>
                <w:color w:val="0000EE"/>
              </w:rPr>
              <w:t>Reviews and Self-Assessments</w:t>
            </w:r>
          </w:p>
        </w:tc>
        <w:tc>
          <w:tcPr>
            <w:tcW w:w="200" w:type="dxa"/>
            <w:vAlign w:val="bottom"/>
            <w:gridSpan w:val="2"/>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3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rPr>
              <w:t>Director Nominations</w:t>
            </w:r>
          </w:p>
        </w:tc>
        <w:tc>
          <w:tcPr>
            <w:tcW w:w="580" w:type="dxa"/>
            <w:vAlign w:val="bottom"/>
            <w:tcBorders>
              <w:top w:val="single" w:sz="8" w:color="0000EE"/>
            </w:tcBorders>
            <w:gridSpan w:val="6"/>
          </w:tcPr>
          <w:p>
            <w:pPr>
              <w:spacing w:after="0"/>
              <w:rPr>
                <w:sz w:val="16"/>
                <w:szCs w:val="16"/>
                <w:color w:val="auto"/>
              </w:rPr>
            </w:pPr>
          </w:p>
        </w:tc>
        <w:tc>
          <w:tcPr>
            <w:tcW w:w="1860" w:type="dxa"/>
            <w:vAlign w:val="bottom"/>
            <w:gridSpan w:val="15"/>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21</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9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97"/>
              </w:rPr>
              <w:t>Majority Voting</w:t>
            </w:r>
          </w:p>
        </w:tc>
        <w:tc>
          <w:tcPr>
            <w:tcW w:w="2880" w:type="dxa"/>
            <w:vAlign w:val="bottom"/>
            <w:gridSpan w:val="25"/>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22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560" w:type="dxa"/>
            <w:vAlign w:val="bottom"/>
            <w:tcBorders>
              <w:bottom w:val="single" w:sz="8" w:color="0000EE"/>
            </w:tcBorders>
            <w:gridSpan w:val="24"/>
          </w:tcPr>
          <w:p>
            <w:pPr>
              <w:spacing w:after="0"/>
              <w:rPr>
                <w:sz w:val="20"/>
                <w:szCs w:val="20"/>
                <w:color w:val="auto"/>
              </w:rPr>
            </w:pPr>
            <w:r>
              <w:rPr>
                <w:rFonts w:ascii="Arial" w:cs="Arial" w:eastAsia="Arial" w:hAnsi="Arial"/>
                <w:sz w:val="14"/>
                <w:szCs w:val="14"/>
                <w:color w:val="0000EE"/>
                <w:w w:val="98"/>
              </w:rPr>
              <w:t>Policies Relating to Directors and Limits on Board Service</w:t>
            </w:r>
          </w:p>
        </w:tc>
        <w:tc>
          <w:tcPr>
            <w:tcW w:w="240" w:type="dxa"/>
            <w:vAlign w:val="bottom"/>
            <w:gridSpan w:val="3"/>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22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00" w:type="dxa"/>
            <w:vAlign w:val="bottom"/>
            <w:gridSpan w:val="27"/>
          </w:tcPr>
          <w:p>
            <w:pPr>
              <w:spacing w:after="0"/>
              <w:rPr>
                <w:sz w:val="20"/>
                <w:szCs w:val="20"/>
                <w:color w:val="auto"/>
              </w:rPr>
            </w:pPr>
            <w:r>
              <w:rPr>
                <w:rFonts w:ascii="Arial" w:cs="Arial" w:eastAsia="Arial" w:hAnsi="Arial"/>
                <w:sz w:val="14"/>
                <w:szCs w:val="14"/>
                <w:color w:val="0000EE"/>
              </w:rPr>
              <w:t>Director Education</w:t>
            </w:r>
          </w:p>
        </w:tc>
        <w:tc>
          <w:tcPr>
            <w:tcW w:w="400" w:type="dxa"/>
            <w:vAlign w:val="bottom"/>
          </w:tcPr>
          <w:p>
            <w:pPr>
              <w:jc w:val="right"/>
              <w:spacing w:after="0"/>
              <w:rPr>
                <w:sz w:val="20"/>
                <w:szCs w:val="20"/>
                <w:color w:val="auto"/>
              </w:rPr>
            </w:pPr>
            <w:r>
              <w:rPr>
                <w:rFonts w:ascii="Arial" w:cs="Arial" w:eastAsia="Arial" w:hAnsi="Arial"/>
                <w:sz w:val="14"/>
                <w:szCs w:val="14"/>
                <w:color w:val="1A475F"/>
              </w:rPr>
              <w:t>23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234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0000EE"/>
                <w:w w:val="98"/>
              </w:rPr>
              <w:t>Code of Business Conduct and Ethics</w:t>
            </w:r>
          </w:p>
        </w:tc>
        <w:tc>
          <w:tcPr>
            <w:tcW w:w="1460" w:type="dxa"/>
            <w:vAlign w:val="bottom"/>
            <w:gridSpan w:val="11"/>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1A475F"/>
              </w:rPr>
              <w:t>23</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0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color w:val="0000EE"/>
                <w:w w:val="98"/>
              </w:rPr>
              <w:t>Online Availability of Information and Governance Documents</w:t>
            </w:r>
          </w:p>
        </w:tc>
        <w:tc>
          <w:tcPr>
            <w:tcW w:w="400" w:type="dxa"/>
            <w:vAlign w:val="bottom"/>
          </w:tcPr>
          <w:p>
            <w:pPr>
              <w:jc w:val="right"/>
              <w:spacing w:after="0"/>
              <w:rPr>
                <w:sz w:val="20"/>
                <w:szCs w:val="20"/>
                <w:color w:val="auto"/>
              </w:rPr>
            </w:pPr>
            <w:r>
              <w:rPr>
                <w:rFonts w:ascii="Arial" w:cs="Arial" w:eastAsia="Arial" w:hAnsi="Arial"/>
                <w:sz w:val="14"/>
                <w:szCs w:val="14"/>
                <w:color w:val="1A475F"/>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w w:val="98"/>
              </w:rPr>
              <w:t>Corporate Responsibility</w:t>
            </w:r>
          </w:p>
        </w:tc>
        <w:tc>
          <w:tcPr>
            <w:tcW w:w="2620" w:type="dxa"/>
            <w:vAlign w:val="bottom"/>
            <w:gridSpan w:val="20"/>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24</w:t>
            </w:r>
          </w:p>
        </w:tc>
        <w:tc>
          <w:tcPr>
            <w:tcW w:w="0" w:type="dxa"/>
            <w:vAlign w:val="bottom"/>
          </w:tcPr>
          <w:p>
            <w:pPr>
              <w:spacing w:after="0"/>
              <w:rPr>
                <w:sz w:val="1"/>
                <w:szCs w:val="1"/>
                <w:color w:val="auto"/>
              </w:rPr>
            </w:pPr>
          </w:p>
        </w:tc>
      </w:tr>
      <w:tr>
        <w:trPr>
          <w:trHeight w:val="188"/>
        </w:trPr>
        <w:tc>
          <w:tcPr>
            <w:tcW w:w="4140" w:type="dxa"/>
            <w:vAlign w:val="bottom"/>
            <w:gridSpan w:val="28"/>
          </w:tcPr>
          <w:p>
            <w:pPr>
              <w:spacing w:after="0"/>
              <w:rPr>
                <w:sz w:val="20"/>
                <w:szCs w:val="20"/>
                <w:color w:val="auto"/>
              </w:rPr>
            </w:pPr>
            <w:r>
              <w:rPr>
                <w:rFonts w:ascii="Arial" w:cs="Arial" w:eastAsia="Arial" w:hAnsi="Arial"/>
                <w:sz w:val="14"/>
                <w:szCs w:val="14"/>
                <w:color w:val="0000EE"/>
              </w:rPr>
              <w:t>Transactions with Related Persons</w:t>
            </w:r>
          </w:p>
        </w:tc>
        <w:tc>
          <w:tcPr>
            <w:tcW w:w="440" w:type="dxa"/>
            <w:vAlign w:val="bottom"/>
          </w:tcPr>
          <w:p>
            <w:pPr>
              <w:jc w:val="right"/>
              <w:spacing w:after="0"/>
              <w:rPr>
                <w:sz w:val="20"/>
                <w:szCs w:val="20"/>
                <w:color w:val="auto"/>
              </w:rPr>
            </w:pPr>
            <w:r>
              <w:rPr>
                <w:rFonts w:ascii="Arial" w:cs="Arial" w:eastAsia="Arial" w:hAnsi="Arial"/>
                <w:sz w:val="14"/>
                <w:szCs w:val="14"/>
                <w:color w:val="1A475F"/>
              </w:rPr>
              <w:t>28</w:t>
            </w:r>
          </w:p>
        </w:tc>
        <w:tc>
          <w:tcPr>
            <w:tcW w:w="0" w:type="dxa"/>
            <w:vAlign w:val="bottom"/>
          </w:tcPr>
          <w:p>
            <w:pPr>
              <w:spacing w:after="0"/>
              <w:rPr>
                <w:sz w:val="1"/>
                <w:szCs w:val="1"/>
                <w:color w:val="auto"/>
              </w:rPr>
            </w:pPr>
          </w:p>
        </w:tc>
      </w:tr>
      <w:tr>
        <w:trPr>
          <w:trHeight w:val="188"/>
        </w:trPr>
        <w:tc>
          <w:tcPr>
            <w:tcW w:w="2140" w:type="dxa"/>
            <w:vAlign w:val="bottom"/>
            <w:tcBorders>
              <w:top w:val="single" w:sz="8" w:color="0000EE"/>
            </w:tcBorders>
            <w:gridSpan w:val="15"/>
          </w:tcPr>
          <w:p>
            <w:pPr>
              <w:spacing w:after="0"/>
              <w:rPr>
                <w:sz w:val="20"/>
                <w:szCs w:val="20"/>
                <w:color w:val="auto"/>
              </w:rPr>
            </w:pPr>
            <w:r>
              <w:rPr>
                <w:rFonts w:ascii="Arial" w:cs="Arial" w:eastAsia="Arial" w:hAnsi="Arial"/>
                <w:sz w:val="14"/>
                <w:szCs w:val="14"/>
                <w:color w:val="0000EE"/>
              </w:rPr>
              <w:t>Stock Ownership Information</w:t>
            </w:r>
          </w:p>
        </w:tc>
        <w:tc>
          <w:tcPr>
            <w:tcW w:w="2000" w:type="dxa"/>
            <w:vAlign w:val="bottom"/>
            <w:gridSpan w:val="13"/>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29</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6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0000EE"/>
                <w:w w:val="98"/>
              </w:rPr>
              <w:t>Delinquent Section 16(a) Reports</w:t>
            </w:r>
          </w:p>
        </w:tc>
        <w:tc>
          <w:tcPr>
            <w:tcW w:w="2080" w:type="dxa"/>
            <w:vAlign w:val="bottom"/>
            <w:gridSpan w:val="15"/>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31</w:t>
            </w:r>
          </w:p>
        </w:tc>
        <w:tc>
          <w:tcPr>
            <w:tcW w:w="0" w:type="dxa"/>
            <w:vAlign w:val="bottom"/>
          </w:tcPr>
          <w:p>
            <w:pPr>
              <w:spacing w:after="0"/>
              <w:rPr>
                <w:sz w:val="1"/>
                <w:szCs w:val="1"/>
                <w:color w:val="auto"/>
              </w:rPr>
            </w:pPr>
          </w:p>
        </w:tc>
      </w:tr>
      <w:tr>
        <w:trPr>
          <w:trHeight w:val="188"/>
        </w:trPr>
        <w:tc>
          <w:tcPr>
            <w:tcW w:w="156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w w:val="99"/>
              </w:rPr>
              <w:t>Executive Compensation</w:t>
            </w:r>
          </w:p>
        </w:tc>
        <w:tc>
          <w:tcPr>
            <w:tcW w:w="2580" w:type="dxa"/>
            <w:vAlign w:val="bottom"/>
            <w:gridSpan w:val="18"/>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32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44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color w:val="0000EE"/>
                <w:w w:val="98"/>
              </w:rPr>
              <w:t>Compensation Discussion and Analysis</w:t>
            </w:r>
          </w:p>
        </w:tc>
        <w:tc>
          <w:tcPr>
            <w:tcW w:w="1420" w:type="dxa"/>
            <w:vAlign w:val="bottom"/>
            <w:gridSpan w:val="6"/>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32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Compensation Committee Report</w:t>
            </w:r>
          </w:p>
        </w:tc>
        <w:tc>
          <w:tcPr>
            <w:tcW w:w="440" w:type="dxa"/>
            <w:vAlign w:val="bottom"/>
          </w:tcPr>
          <w:p>
            <w:pPr>
              <w:jc w:val="right"/>
              <w:spacing w:after="0"/>
              <w:rPr>
                <w:sz w:val="20"/>
                <w:szCs w:val="20"/>
                <w:color w:val="auto"/>
              </w:rPr>
            </w:pPr>
            <w:r>
              <w:rPr>
                <w:rFonts w:ascii="Arial" w:cs="Arial" w:eastAsia="Arial" w:hAnsi="Arial"/>
                <w:sz w:val="14"/>
                <w:szCs w:val="14"/>
                <w:color w:val="1A475F"/>
              </w:rPr>
              <w:t>43</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9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w w:val="97"/>
              </w:rPr>
              <w:t>Summary Compensation Table</w:t>
            </w:r>
          </w:p>
        </w:tc>
        <w:tc>
          <w:tcPr>
            <w:tcW w:w="160" w:type="dxa"/>
            <w:vAlign w:val="bottom"/>
            <w:tcBorders>
              <w:top w:val="single" w:sz="8" w:color="0000EE"/>
            </w:tcBorders>
            <w:gridSpan w:val="2"/>
          </w:tcPr>
          <w:p>
            <w:pPr>
              <w:spacing w:after="0"/>
              <w:rPr>
                <w:sz w:val="16"/>
                <w:szCs w:val="16"/>
                <w:color w:val="auto"/>
              </w:rPr>
            </w:pPr>
          </w:p>
        </w:tc>
        <w:tc>
          <w:tcPr>
            <w:tcW w:w="1800" w:type="dxa"/>
            <w:vAlign w:val="bottom"/>
            <w:gridSpan w:val="10"/>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44</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Grants of Plan-Based Awards</w:t>
            </w:r>
          </w:p>
        </w:tc>
        <w:tc>
          <w:tcPr>
            <w:tcW w:w="440" w:type="dxa"/>
            <w:vAlign w:val="bottom"/>
          </w:tcPr>
          <w:p>
            <w:pPr>
              <w:jc w:val="right"/>
              <w:spacing w:after="0"/>
              <w:rPr>
                <w:sz w:val="20"/>
                <w:szCs w:val="20"/>
                <w:color w:val="auto"/>
              </w:rPr>
            </w:pPr>
            <w:r>
              <w:rPr>
                <w:rFonts w:ascii="Arial" w:cs="Arial" w:eastAsia="Arial" w:hAnsi="Arial"/>
                <w:sz w:val="14"/>
                <w:szCs w:val="14"/>
                <w:color w:val="1A475F"/>
              </w:rPr>
              <w:t>45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Outstanding Equity Awards at Fiscal Year-End</w:t>
            </w:r>
          </w:p>
        </w:tc>
        <w:tc>
          <w:tcPr>
            <w:tcW w:w="440" w:type="dxa"/>
            <w:vAlign w:val="bottom"/>
          </w:tcPr>
          <w:p>
            <w:pPr>
              <w:jc w:val="right"/>
              <w:spacing w:after="0"/>
              <w:rPr>
                <w:sz w:val="20"/>
                <w:szCs w:val="20"/>
                <w:color w:val="auto"/>
              </w:rPr>
            </w:pPr>
            <w:r>
              <w:rPr>
                <w:rFonts w:ascii="Arial" w:cs="Arial" w:eastAsia="Arial" w:hAnsi="Arial"/>
                <w:sz w:val="14"/>
                <w:szCs w:val="14"/>
                <w:color w:val="1A475F"/>
              </w:rPr>
              <w:t>46</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18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4"/>
                <w:szCs w:val="14"/>
                <w:color w:val="0000EE"/>
                <w:w w:val="98"/>
              </w:rPr>
              <w:t>Option Exercises and Stock Vested</w:t>
            </w:r>
          </w:p>
        </w:tc>
        <w:tc>
          <w:tcPr>
            <w:tcW w:w="660" w:type="dxa"/>
            <w:vAlign w:val="bottom"/>
            <w:tcBorders>
              <w:top w:val="single" w:sz="8" w:color="0000EE"/>
            </w:tcBorders>
            <w:gridSpan w:val="3"/>
          </w:tcPr>
          <w:p>
            <w:pPr>
              <w:spacing w:after="0"/>
              <w:rPr>
                <w:sz w:val="16"/>
                <w:szCs w:val="16"/>
                <w:color w:val="auto"/>
              </w:rPr>
            </w:pPr>
          </w:p>
        </w:tc>
        <w:tc>
          <w:tcPr>
            <w:tcW w:w="1020" w:type="dxa"/>
            <w:vAlign w:val="bottom"/>
            <w:gridSpan w:val="5"/>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47</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Nonqualified Deferred Compensation</w:t>
            </w:r>
          </w:p>
        </w:tc>
        <w:tc>
          <w:tcPr>
            <w:tcW w:w="440" w:type="dxa"/>
            <w:vAlign w:val="bottom"/>
          </w:tcPr>
          <w:p>
            <w:pPr>
              <w:jc w:val="right"/>
              <w:spacing w:after="0"/>
              <w:rPr>
                <w:sz w:val="20"/>
                <w:szCs w:val="20"/>
                <w:color w:val="auto"/>
              </w:rPr>
            </w:pPr>
            <w:r>
              <w:rPr>
                <w:rFonts w:ascii="Arial" w:cs="Arial" w:eastAsia="Arial" w:hAnsi="Arial"/>
                <w:sz w:val="14"/>
                <w:szCs w:val="14"/>
                <w:color w:val="1A475F"/>
              </w:rPr>
              <w:t>47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3660" w:type="dxa"/>
            <w:vAlign w:val="bottom"/>
            <w:tcBorders>
              <w:bottom w:val="single" w:sz="8" w:color="0000EE"/>
            </w:tcBorders>
            <w:gridSpan w:val="26"/>
          </w:tcPr>
          <w:p>
            <w:pPr>
              <w:spacing w:after="0"/>
              <w:rPr>
                <w:sz w:val="20"/>
                <w:szCs w:val="20"/>
                <w:color w:val="auto"/>
              </w:rPr>
            </w:pPr>
            <w:r>
              <w:rPr>
                <w:rFonts w:ascii="Arial" w:cs="Arial" w:eastAsia="Arial" w:hAnsi="Arial"/>
                <w:sz w:val="14"/>
                <w:szCs w:val="14"/>
                <w:color w:val="0000EE"/>
                <w:w w:val="98"/>
              </w:rPr>
              <w:t>Potential Payments Upon Termination or Change of Control</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48</w:t>
            </w:r>
          </w:p>
        </w:tc>
        <w:tc>
          <w:tcPr>
            <w:tcW w:w="0" w:type="dxa"/>
            <w:vAlign w:val="bottom"/>
          </w:tcPr>
          <w:p>
            <w:pPr>
              <w:spacing w:after="0"/>
              <w:rPr>
                <w:sz w:val="1"/>
                <w:szCs w:val="1"/>
                <w:color w:val="auto"/>
              </w:rPr>
            </w:pPr>
          </w:p>
        </w:tc>
      </w:tr>
      <w:tr>
        <w:trPr>
          <w:trHeight w:val="188"/>
        </w:trPr>
        <w:tc>
          <w:tcPr>
            <w:tcW w:w="4140" w:type="dxa"/>
            <w:vAlign w:val="bottom"/>
            <w:gridSpan w:val="28"/>
          </w:tcPr>
          <w:p>
            <w:pPr>
              <w:spacing w:after="0"/>
              <w:rPr>
                <w:sz w:val="20"/>
                <w:szCs w:val="20"/>
                <w:color w:val="auto"/>
              </w:rPr>
            </w:pPr>
            <w:r>
              <w:rPr>
                <w:rFonts w:ascii="Arial" w:cs="Arial" w:eastAsia="Arial" w:hAnsi="Arial"/>
                <w:sz w:val="14"/>
                <w:szCs w:val="14"/>
                <w:color w:val="0000EE"/>
              </w:rPr>
              <w:t>CEO Pay Ratio</w:t>
            </w:r>
          </w:p>
        </w:tc>
        <w:tc>
          <w:tcPr>
            <w:tcW w:w="440" w:type="dxa"/>
            <w:vAlign w:val="bottom"/>
          </w:tcPr>
          <w:p>
            <w:pPr>
              <w:jc w:val="right"/>
              <w:spacing w:after="0"/>
              <w:rPr>
                <w:sz w:val="20"/>
                <w:szCs w:val="20"/>
                <w:color w:val="auto"/>
              </w:rPr>
            </w:pPr>
            <w:r>
              <w:rPr>
                <w:rFonts w:ascii="Arial" w:cs="Arial" w:eastAsia="Arial" w:hAnsi="Arial"/>
                <w:sz w:val="14"/>
                <w:szCs w:val="14"/>
                <w:color w:val="1A475F"/>
              </w:rPr>
              <w:t>51</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5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w w:val="99"/>
              </w:rPr>
              <w:t>Pay versus Performance</w:t>
            </w:r>
          </w:p>
        </w:tc>
        <w:tc>
          <w:tcPr>
            <w:tcW w:w="2600" w:type="dxa"/>
            <w:vAlign w:val="bottom"/>
            <w:gridSpan w:val="19"/>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52</w:t>
            </w:r>
          </w:p>
        </w:tc>
        <w:tc>
          <w:tcPr>
            <w:tcW w:w="0" w:type="dxa"/>
            <w:vAlign w:val="bottom"/>
          </w:tcPr>
          <w:p>
            <w:pPr>
              <w:spacing w:after="0"/>
              <w:rPr>
                <w:sz w:val="1"/>
                <w:szCs w:val="1"/>
                <w:color w:val="auto"/>
              </w:rPr>
            </w:pPr>
          </w:p>
        </w:tc>
      </w:tr>
      <w:tr>
        <w:trPr>
          <w:trHeight w:val="188"/>
        </w:trPr>
        <w:tc>
          <w:tcPr>
            <w:tcW w:w="4140" w:type="dxa"/>
            <w:vAlign w:val="bottom"/>
            <w:gridSpan w:val="28"/>
          </w:tcPr>
          <w:p>
            <w:pPr>
              <w:spacing w:after="0"/>
              <w:rPr>
                <w:sz w:val="20"/>
                <w:szCs w:val="20"/>
                <w:color w:val="auto"/>
              </w:rPr>
            </w:pPr>
            <w:r>
              <w:rPr>
                <w:rFonts w:ascii="Arial" w:cs="Arial" w:eastAsia="Arial" w:hAnsi="Arial"/>
                <w:sz w:val="14"/>
                <w:szCs w:val="14"/>
                <w:color w:val="0000EE"/>
              </w:rPr>
              <w:t>Proposal 2—Advisory Vote on Named Executive Officer 2025</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1A475F"/>
              </w:rPr>
              <w:t>57</w:t>
            </w:r>
          </w:p>
        </w:tc>
        <w:tc>
          <w:tcPr>
            <w:tcW w:w="0" w:type="dxa"/>
            <w:vAlign w:val="bottom"/>
          </w:tcPr>
          <w:p>
            <w:pPr>
              <w:spacing w:after="0"/>
              <w:rPr>
                <w:sz w:val="1"/>
                <w:szCs w:val="1"/>
                <w:color w:val="auto"/>
              </w:rPr>
            </w:pPr>
          </w:p>
        </w:tc>
      </w:tr>
      <w:tr>
        <w:trPr>
          <w:trHeight w:val="142"/>
        </w:trPr>
        <w:tc>
          <w:tcPr>
            <w:tcW w:w="940" w:type="dxa"/>
            <w:vAlign w:val="bottom"/>
            <w:tcBorders>
              <w:top w:val="single" w:sz="8" w:color="0000EE"/>
              <w:bottom w:val="single" w:sz="8" w:color="0000EE"/>
            </w:tcBorders>
            <w:gridSpan w:val="3"/>
          </w:tcPr>
          <w:p>
            <w:pPr>
              <w:spacing w:after="0" w:line="142" w:lineRule="exact"/>
              <w:rPr>
                <w:sz w:val="20"/>
                <w:szCs w:val="20"/>
                <w:color w:val="auto"/>
              </w:rPr>
            </w:pPr>
            <w:r>
              <w:rPr>
                <w:rFonts w:ascii="Arial" w:cs="Arial" w:eastAsia="Arial" w:hAnsi="Arial"/>
                <w:sz w:val="14"/>
                <w:szCs w:val="14"/>
                <w:color w:val="0000EE"/>
                <w:w w:val="99"/>
              </w:rPr>
              <w:t>Compensation</w:t>
            </w:r>
          </w:p>
        </w:tc>
        <w:tc>
          <w:tcPr>
            <w:tcW w:w="2820" w:type="dxa"/>
            <w:vAlign w:val="bottom"/>
            <w:tcBorders>
              <w:top w:val="single" w:sz="8" w:color="0000EE"/>
            </w:tcBorders>
            <w:gridSpan w:val="23"/>
          </w:tcPr>
          <w:p>
            <w:pPr>
              <w:spacing w:after="0"/>
              <w:rPr>
                <w:sz w:val="12"/>
                <w:szCs w:val="12"/>
                <w:color w:val="auto"/>
              </w:rPr>
            </w:pPr>
          </w:p>
        </w:tc>
        <w:tc>
          <w:tcPr>
            <w:tcW w:w="380" w:type="dxa"/>
            <w:vAlign w:val="bottom"/>
            <w:gridSpan w:val="2"/>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w w:val="98"/>
              </w:rPr>
              <w:t>Audit Committee Matters</w:t>
            </w:r>
          </w:p>
        </w:tc>
        <w:tc>
          <w:tcPr>
            <w:tcW w:w="2600" w:type="dxa"/>
            <w:vAlign w:val="bottom"/>
            <w:gridSpan w:val="19"/>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58</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Audit Committee Report</w:t>
            </w:r>
          </w:p>
        </w:tc>
        <w:tc>
          <w:tcPr>
            <w:tcW w:w="440" w:type="dxa"/>
            <w:vAlign w:val="bottom"/>
          </w:tcPr>
          <w:p>
            <w:pPr>
              <w:jc w:val="right"/>
              <w:spacing w:after="0"/>
              <w:rPr>
                <w:sz w:val="20"/>
                <w:szCs w:val="20"/>
                <w:color w:val="auto"/>
              </w:rPr>
            </w:pPr>
            <w:r>
              <w:rPr>
                <w:rFonts w:ascii="Arial" w:cs="Arial" w:eastAsia="Arial" w:hAnsi="Arial"/>
                <w:sz w:val="14"/>
                <w:szCs w:val="14"/>
                <w:color w:val="1A475F"/>
              </w:rPr>
              <w:t>58</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500" w:type="dxa"/>
            <w:vAlign w:val="bottom"/>
            <w:tcBorders>
              <w:top w:val="single" w:sz="8" w:color="0000EE"/>
            </w:tcBorders>
            <w:gridSpan w:val="11"/>
          </w:tcPr>
          <w:p>
            <w:pPr>
              <w:spacing w:after="0"/>
              <w:rPr>
                <w:sz w:val="20"/>
                <w:szCs w:val="20"/>
                <w:color w:val="auto"/>
              </w:rPr>
            </w:pPr>
            <w:r>
              <w:rPr>
                <w:rFonts w:ascii="Arial" w:cs="Arial" w:eastAsia="Arial" w:hAnsi="Arial"/>
                <w:sz w:val="14"/>
                <w:szCs w:val="14"/>
                <w:color w:val="0000EE"/>
              </w:rPr>
              <w:t>Audit and Other Fees</w:t>
            </w:r>
          </w:p>
        </w:tc>
        <w:tc>
          <w:tcPr>
            <w:tcW w:w="2360" w:type="dxa"/>
            <w:vAlign w:val="bottom"/>
            <w:gridSpan w:val="16"/>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60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3460" w:type="dxa"/>
            <w:vAlign w:val="bottom"/>
            <w:tcBorders>
              <w:bottom w:val="single" w:sz="8" w:color="0000EE"/>
            </w:tcBorders>
            <w:gridSpan w:val="24"/>
          </w:tcPr>
          <w:p>
            <w:pPr>
              <w:spacing w:after="0"/>
              <w:rPr>
                <w:sz w:val="20"/>
                <w:szCs w:val="20"/>
                <w:color w:val="auto"/>
              </w:rPr>
            </w:pPr>
            <w:r>
              <w:rPr>
                <w:rFonts w:ascii="Arial" w:cs="Arial" w:eastAsia="Arial" w:hAnsi="Arial"/>
                <w:sz w:val="14"/>
                <w:szCs w:val="14"/>
                <w:color w:val="0000EE"/>
                <w:w w:val="98"/>
              </w:rPr>
              <w:t>Pre-Approval of Audit and Permitted Non-Audit Services</w:t>
            </w:r>
          </w:p>
        </w:tc>
        <w:tc>
          <w:tcPr>
            <w:tcW w:w="400" w:type="dxa"/>
            <w:vAlign w:val="bottom"/>
            <w:gridSpan w:val="3"/>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60</w:t>
            </w:r>
          </w:p>
        </w:tc>
        <w:tc>
          <w:tcPr>
            <w:tcW w:w="0" w:type="dxa"/>
            <w:vAlign w:val="bottom"/>
          </w:tcPr>
          <w:p>
            <w:pPr>
              <w:spacing w:after="0"/>
              <w:rPr>
                <w:sz w:val="1"/>
                <w:szCs w:val="1"/>
                <w:color w:val="auto"/>
              </w:rPr>
            </w:pPr>
          </w:p>
        </w:tc>
      </w:tr>
      <w:tr>
        <w:trPr>
          <w:trHeight w:val="188"/>
        </w:trPr>
        <w:tc>
          <w:tcPr>
            <w:tcW w:w="4140" w:type="dxa"/>
            <w:vAlign w:val="bottom"/>
            <w:tcBorders>
              <w:bottom w:val="single" w:sz="8" w:color="0000EE"/>
            </w:tcBorders>
            <w:gridSpan w:val="28"/>
          </w:tcPr>
          <w:p>
            <w:pPr>
              <w:spacing w:after="0"/>
              <w:rPr>
                <w:sz w:val="20"/>
                <w:szCs w:val="20"/>
                <w:color w:val="auto"/>
              </w:rPr>
            </w:pPr>
            <w:r>
              <w:rPr>
                <w:rFonts w:ascii="Arial" w:cs="Arial" w:eastAsia="Arial" w:hAnsi="Arial"/>
                <w:sz w:val="14"/>
                <w:szCs w:val="14"/>
                <w:color w:val="0000EE"/>
                <w:w w:val="98"/>
              </w:rPr>
              <w:t>Proposal 3—Ratification of Appointment of Independent Registered</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1A475F"/>
              </w:rPr>
              <w:t>61</w:t>
            </w:r>
          </w:p>
        </w:tc>
        <w:tc>
          <w:tcPr>
            <w:tcW w:w="0" w:type="dxa"/>
            <w:vAlign w:val="bottom"/>
          </w:tcPr>
          <w:p>
            <w:pPr>
              <w:spacing w:after="0"/>
              <w:rPr>
                <w:sz w:val="1"/>
                <w:szCs w:val="1"/>
                <w:color w:val="auto"/>
              </w:rPr>
            </w:pPr>
          </w:p>
        </w:tc>
      </w:tr>
      <w:tr>
        <w:trPr>
          <w:trHeight w:val="142"/>
        </w:trPr>
        <w:tc>
          <w:tcPr>
            <w:tcW w:w="4140" w:type="dxa"/>
            <w:vAlign w:val="bottom"/>
            <w:gridSpan w:val="28"/>
          </w:tcPr>
          <w:p>
            <w:pPr>
              <w:spacing w:after="0" w:line="142" w:lineRule="exact"/>
              <w:rPr>
                <w:sz w:val="20"/>
                <w:szCs w:val="20"/>
                <w:color w:val="auto"/>
              </w:rPr>
            </w:pPr>
            <w:r>
              <w:rPr>
                <w:rFonts w:ascii="Arial" w:cs="Arial" w:eastAsia="Arial" w:hAnsi="Arial"/>
                <w:sz w:val="14"/>
                <w:szCs w:val="14"/>
                <w:color w:val="0000EE"/>
              </w:rPr>
              <w:t>Public Accounting Firm</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tcBorders>
              <w:top w:val="single" w:sz="8" w:color="0000EE"/>
            </w:tcBorders>
            <w:gridSpan w:val="6"/>
          </w:tcPr>
          <w:p>
            <w:pPr>
              <w:spacing w:after="0"/>
              <w:rPr>
                <w:sz w:val="20"/>
                <w:szCs w:val="20"/>
                <w:color w:val="auto"/>
              </w:rPr>
            </w:pPr>
            <w:r>
              <w:rPr>
                <w:rFonts w:ascii="Arial" w:cs="Arial" w:eastAsia="Arial" w:hAnsi="Arial"/>
                <w:sz w:val="14"/>
                <w:szCs w:val="14"/>
                <w:color w:val="0000EE"/>
              </w:rPr>
              <w:t>Other Information</w:t>
            </w:r>
          </w:p>
        </w:tc>
        <w:tc>
          <w:tcPr>
            <w:tcW w:w="2720" w:type="dxa"/>
            <w:vAlign w:val="bottom"/>
            <w:gridSpan w:val="22"/>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62</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320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0000EE"/>
                <w:w w:val="98"/>
              </w:rPr>
              <w:t>Shareholder Proposals for the 2027 Annual Meeting</w:t>
            </w:r>
          </w:p>
        </w:tc>
        <w:tc>
          <w:tcPr>
            <w:tcW w:w="660" w:type="dxa"/>
            <w:vAlign w:val="bottom"/>
            <w:gridSpan w:val="4"/>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62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24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w w:val="97"/>
              </w:rPr>
              <w:t>2025 Annual Report</w:t>
            </w:r>
          </w:p>
        </w:tc>
        <w:tc>
          <w:tcPr>
            <w:tcW w:w="2620" w:type="dxa"/>
            <w:vAlign w:val="bottom"/>
            <w:gridSpan w:val="20"/>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62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14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w w:val="98"/>
              </w:rPr>
              <w:t>Shareholder Account Maintenance</w:t>
            </w:r>
          </w:p>
        </w:tc>
        <w:tc>
          <w:tcPr>
            <w:tcW w:w="1720" w:type="dxa"/>
            <w:vAlign w:val="bottom"/>
            <w:gridSpan w:val="9"/>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62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860" w:type="dxa"/>
            <w:vAlign w:val="bottom"/>
            <w:gridSpan w:val="27"/>
          </w:tcPr>
          <w:p>
            <w:pPr>
              <w:spacing w:after="0"/>
              <w:rPr>
                <w:sz w:val="20"/>
                <w:szCs w:val="20"/>
                <w:color w:val="auto"/>
              </w:rPr>
            </w:pPr>
            <w:r>
              <w:rPr>
                <w:rFonts w:ascii="Arial" w:cs="Arial" w:eastAsia="Arial" w:hAnsi="Arial"/>
                <w:sz w:val="14"/>
                <w:szCs w:val="14"/>
                <w:color w:val="0000EE"/>
              </w:rPr>
              <w:t>Householding of Proxy Materials</w:t>
            </w:r>
          </w:p>
        </w:tc>
        <w:tc>
          <w:tcPr>
            <w:tcW w:w="440" w:type="dxa"/>
            <w:vAlign w:val="bottom"/>
          </w:tcPr>
          <w:p>
            <w:pPr>
              <w:jc w:val="right"/>
              <w:spacing w:after="0"/>
              <w:rPr>
                <w:sz w:val="20"/>
                <w:szCs w:val="20"/>
                <w:color w:val="auto"/>
              </w:rPr>
            </w:pPr>
            <w:r>
              <w:rPr>
                <w:rFonts w:ascii="Arial" w:cs="Arial" w:eastAsia="Arial" w:hAnsi="Arial"/>
                <w:sz w:val="14"/>
                <w:szCs w:val="14"/>
                <w:color w:val="1A475F"/>
              </w:rPr>
              <w:t>62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000" w:type="dxa"/>
            <w:vAlign w:val="bottom"/>
            <w:tcBorders>
              <w:top w:val="single" w:sz="8" w:color="0000EE"/>
            </w:tcBorders>
            <w:gridSpan w:val="16"/>
          </w:tcPr>
          <w:p>
            <w:pPr>
              <w:spacing w:after="0"/>
              <w:rPr>
                <w:sz w:val="20"/>
                <w:szCs w:val="20"/>
                <w:color w:val="auto"/>
              </w:rPr>
            </w:pPr>
            <w:r>
              <w:rPr>
                <w:rFonts w:ascii="Arial" w:cs="Arial" w:eastAsia="Arial" w:hAnsi="Arial"/>
                <w:sz w:val="14"/>
                <w:szCs w:val="14"/>
                <w:color w:val="0000EE"/>
              </w:rPr>
              <w:t>Other Matters</w:t>
            </w:r>
          </w:p>
        </w:tc>
        <w:tc>
          <w:tcPr>
            <w:tcW w:w="1860" w:type="dxa"/>
            <w:vAlign w:val="bottom"/>
            <w:gridSpan w:val="11"/>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63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700" w:type="dxa"/>
            <w:vAlign w:val="bottom"/>
            <w:gridSpan w:val="2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11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8"/>
              </w:rPr>
              <w:t>Cost of Solicitation</w:t>
            </w:r>
          </w:p>
        </w:tc>
        <w:tc>
          <w:tcPr>
            <w:tcW w:w="2700" w:type="dxa"/>
            <w:vAlign w:val="bottom"/>
            <w:gridSpan w:val="21"/>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63</w:t>
            </w:r>
          </w:p>
        </w:tc>
        <w:tc>
          <w:tcPr>
            <w:tcW w:w="0" w:type="dxa"/>
            <w:vAlign w:val="bottom"/>
          </w:tcPr>
          <w:p>
            <w:pPr>
              <w:spacing w:after="0"/>
              <w:rPr>
                <w:sz w:val="1"/>
                <w:szCs w:val="1"/>
                <w:color w:val="auto"/>
              </w:rPr>
            </w:pPr>
          </w:p>
        </w:tc>
      </w:tr>
      <w:tr>
        <w:trPr>
          <w:trHeight w:val="188"/>
        </w:trPr>
        <w:tc>
          <w:tcPr>
            <w:tcW w:w="7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97"/>
              </w:rPr>
              <w:t>Appendix A</w:t>
            </w:r>
          </w:p>
        </w:tc>
        <w:tc>
          <w:tcPr>
            <w:tcW w:w="3420" w:type="dxa"/>
            <w:vAlign w:val="bottom"/>
            <w:gridSpan w:val="26"/>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1A475F"/>
              </w:rPr>
              <w:t>A-1</w:t>
            </w:r>
          </w:p>
        </w:tc>
        <w:tc>
          <w:tcPr>
            <w:tcW w:w="0" w:type="dxa"/>
            <w:vAlign w:val="bottom"/>
          </w:tcPr>
          <w:p>
            <w:pPr>
              <w:spacing w:after="0"/>
              <w:rPr>
                <w:sz w:val="1"/>
                <w:szCs w:val="1"/>
                <w:color w:val="auto"/>
              </w:rPr>
            </w:pPr>
          </w:p>
        </w:tc>
      </w:tr>
    </w:tbl>
    <w:p>
      <w:pPr>
        <w:spacing w:after="0" w:line="246" w:lineRule="exact"/>
        <w:rPr>
          <w:sz w:val="20"/>
          <w:szCs w:val="20"/>
          <w:color w:val="auto"/>
        </w:rPr>
      </w:pPr>
    </w:p>
    <w:p>
      <w:pPr>
        <w:sectPr>
          <w:pgSz w:w="11900" w:h="16838" w:orient="portrait"/>
          <w:cols w:equalWidth="0" w:num="2">
            <w:col w:w="5380" w:space="340"/>
            <w:col w:w="4580"/>
          </w:cols>
          <w:pgMar w:left="320" w:top="433" w:right="1279" w:bottom="1440" w:gutter="0" w:footer="0" w:header="0"/>
          <w:type w:val="continuous"/>
        </w:sectPr>
      </w:pPr>
    </w:p>
    <w:p>
      <w:pPr>
        <w:spacing w:after="0" w:line="119" w:lineRule="exact"/>
        <w:rPr>
          <w:sz w:val="20"/>
          <w:szCs w:val="20"/>
          <w:color w:val="auto"/>
        </w:rPr>
      </w:pPr>
    </w:p>
    <w:p>
      <w:pPr>
        <w:ind w:left="900"/>
        <w:spacing w:after="0"/>
        <w:rPr>
          <w:sz w:val="20"/>
          <w:szCs w:val="20"/>
          <w:color w:val="auto"/>
        </w:rPr>
      </w:pPr>
      <w:r>
        <w:rPr>
          <w:rFonts w:ascii="Arial" w:cs="Arial" w:eastAsia="Arial" w:hAnsi="Arial"/>
          <w:sz w:val="15"/>
          <w:szCs w:val="15"/>
          <w:b w:val="1"/>
          <w:bCs w:val="1"/>
          <w:u w:val="single" w:color="auto"/>
          <w:color w:val="1A475F"/>
        </w:rPr>
        <w:t>Note Regarding Forward-Looking Statements</w:t>
      </w:r>
    </w:p>
    <w:p>
      <w:pPr>
        <w:spacing w:after="0" w:line="188" w:lineRule="exact"/>
        <w:rPr>
          <w:sz w:val="20"/>
          <w:szCs w:val="20"/>
          <w:color w:val="auto"/>
        </w:rPr>
      </w:pPr>
    </w:p>
    <w:p>
      <w:pPr>
        <w:ind w:left="900" w:firstLine="756"/>
        <w:spacing w:after="0" w:line="243" w:lineRule="auto"/>
        <w:rPr>
          <w:sz w:val="20"/>
          <w:szCs w:val="20"/>
          <w:color w:val="auto"/>
        </w:rPr>
      </w:pPr>
      <w:r>
        <w:rPr>
          <w:rFonts w:ascii="Arial" w:cs="Arial" w:eastAsia="Arial" w:hAnsi="Arial"/>
          <w:sz w:val="15"/>
          <w:szCs w:val="15"/>
          <w:i w:val="1"/>
          <w:iCs w:val="1"/>
          <w:color w:val="1A475F"/>
        </w:rPr>
        <w:t>This Proxy Statement includes statements that express our opinions, expectations, beliefs, plans, objectives, assumptions or projections regarding future events or future results and therefore are, or may be deemed to be, “forward-looking statements” within the meaning of the Private Securities Litigation Reform Act of 1995 (the “Act”). The following cautionary statements are being made pursuant to the provisions of the Act and with the intention of obtaining the benefits of the “safe harbor” provisions of the Act. These forward-looking statements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and they appear in a number of places throughout this Proxy Statement and include statements regarding our intentions, beliefs or current expectations. Without limiting the generality of the foregoing, forward-looking statements contained in this Proxy Statement include expectations of future stock price performance as it relates to our compensation programs, our ability to successfully implement and execute initiatives and goals, and whether we are able to achieve the anticipated results of such initiatives and goals. By their nature, forward-looking statements involve risks and uncertainties because they relate to events and depend on circumstances that may or may not occur in the future. We believe that these risks and uncertainties include, but are not limited to, those described under “Risk Factors” and elsewhere in our 2025 Annual Report on Form 10-K and in our other public filings with the Securities and Exchange Commission (“SEC”). Although we base these forward-looking statements on assumptions that we believe are reasonable when made, we caution you that forward-looking statements are not guarantees of future performance and that our actual results may differ materially from those made in or suggested by the forward-looking statements contained in this Proxy Statement. In addition, even if our results are consistent with the forward-looking statements</w:t>
      </w:r>
    </w:p>
    <w:p>
      <w:pPr>
        <w:sectPr>
          <w:pgSz w:w="11900" w:h="16838" w:orient="portrait"/>
          <w:cols w:equalWidth="0" w:num="1">
            <w:col w:w="10300"/>
          </w:cols>
          <w:pgMar w:left="320" w:top="433" w:right="12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1A475F"/>
        </w:rPr>
        <w:t>contained in this Proxy Statement, those results or developments may not be indicative of results or developments in subsequent periods.</w:t>
      </w:r>
    </w:p>
    <w:p>
      <w:pPr>
        <w:spacing w:after="0" w:line="94" w:lineRule="exact"/>
        <w:rPr>
          <w:sz w:val="20"/>
          <w:szCs w:val="20"/>
          <w:color w:val="auto"/>
        </w:rPr>
      </w:pPr>
    </w:p>
    <w:p>
      <w:pPr>
        <w:ind w:left="900" w:right="180" w:firstLine="756"/>
        <w:spacing w:after="0" w:line="255" w:lineRule="auto"/>
        <w:rPr>
          <w:sz w:val="20"/>
          <w:szCs w:val="20"/>
          <w:color w:val="auto"/>
        </w:rPr>
      </w:pPr>
      <w:r>
        <w:rPr>
          <w:rFonts w:ascii="Arial" w:cs="Arial" w:eastAsia="Arial" w:hAnsi="Arial"/>
          <w:sz w:val="15"/>
          <w:szCs w:val="15"/>
          <w:i w:val="1"/>
          <w:iCs w:val="1"/>
          <w:color w:val="1A475F"/>
        </w:rPr>
        <w:t>Given these risks and uncertainties, you are cautioned not to place undue reliance on these forward-looking statements. Any forward-looking statement that we make in this Proxy Statement speaks only as of the date of such statement, and we undertake no obligation to update any forward-looking statements or to publicly announce the results of any revisions to any of those statements to reflect future events or developments, except as required by law.</w:t>
      </w:r>
    </w:p>
    <w:p>
      <w:pPr>
        <w:spacing w:after="0" w:line="54" w:lineRule="exact"/>
        <w:rPr>
          <w:sz w:val="20"/>
          <w:szCs w:val="20"/>
          <w:color w:val="auto"/>
        </w:rPr>
      </w:pPr>
    </w:p>
    <w:p>
      <w:pPr>
        <w:ind w:left="900" w:firstLine="756"/>
        <w:spacing w:after="0" w:line="282" w:lineRule="auto"/>
        <w:rPr>
          <w:sz w:val="20"/>
          <w:szCs w:val="20"/>
          <w:color w:val="auto"/>
        </w:rPr>
      </w:pPr>
      <w:r>
        <w:rPr>
          <w:rFonts w:ascii="Arial" w:cs="Arial" w:eastAsia="Arial" w:hAnsi="Arial"/>
          <w:sz w:val="15"/>
          <w:szCs w:val="15"/>
          <w:i w:val="1"/>
          <w:iCs w:val="1"/>
          <w:color w:val="1A475F"/>
        </w:rPr>
        <w:t>Information contained on or connected to our website is not incorporated by reference into this Proxy Statement and should not be considered a part of this Proxy Statement or any other filing or submission that we make with the SEC.</w:t>
      </w:r>
    </w:p>
    <w:p>
      <w:pPr>
        <w:spacing w:after="0" w:line="218" w:lineRule="exact"/>
        <w:rPr>
          <w:sz w:val="20"/>
          <w:szCs w:val="20"/>
          <w:color w:val="auto"/>
        </w:rPr>
      </w:pPr>
    </w:p>
    <w:p>
      <w:pPr>
        <w:ind w:left="900"/>
        <w:spacing w:after="0"/>
        <w:rPr>
          <w:sz w:val="20"/>
          <w:szCs w:val="20"/>
          <w:color w:val="auto"/>
        </w:rPr>
      </w:pPr>
      <w:r>
        <w:rPr>
          <w:rFonts w:ascii="Arial" w:cs="Arial" w:eastAsia="Arial" w:hAnsi="Arial"/>
          <w:sz w:val="15"/>
          <w:szCs w:val="15"/>
          <w:b w:val="1"/>
          <w:bCs w:val="1"/>
          <w:u w:val="single" w:color="auto"/>
          <w:color w:val="1A475F"/>
        </w:rPr>
        <w:t>Websites</w:t>
      </w:r>
    </w:p>
    <w:p>
      <w:pPr>
        <w:spacing w:after="0" w:line="96" w:lineRule="exact"/>
        <w:rPr>
          <w:sz w:val="20"/>
          <w:szCs w:val="20"/>
          <w:color w:val="auto"/>
        </w:rPr>
      </w:pPr>
    </w:p>
    <w:p>
      <w:pPr>
        <w:ind w:left="900" w:right="120" w:firstLine="756"/>
        <w:spacing w:after="0" w:line="282" w:lineRule="auto"/>
        <w:rPr>
          <w:sz w:val="20"/>
          <w:szCs w:val="20"/>
          <w:color w:val="auto"/>
        </w:rPr>
      </w:pPr>
      <w:r>
        <w:rPr>
          <w:rFonts w:ascii="Arial" w:cs="Arial" w:eastAsia="Arial" w:hAnsi="Arial"/>
          <w:sz w:val="15"/>
          <w:szCs w:val="15"/>
          <w:i w:val="1"/>
          <w:iCs w:val="1"/>
          <w:color w:val="1A475F"/>
        </w:rPr>
        <w:t>Website addresses referenced in this Proxy Statement are inactive textual references only, and the content on the referenced websites specifically does not constitute a part of this Proxy Statement and is not incorporated by reference herein.</w:t>
      </w:r>
    </w:p>
    <w:p>
      <w:pPr>
        <w:sectPr>
          <w:pgSz w:w="11900" w:h="16838" w:orient="portrait"/>
          <w:cols w:equalWidth="0" w:num="1">
            <w:col w:w="10320"/>
          </w:cols>
          <w:pgMar w:left="320" w:top="433"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jc w:val="center"/>
        <w:ind w:right="-899"/>
        <w:spacing w:after="0"/>
        <w:rPr>
          <w:sz w:val="20"/>
          <w:szCs w:val="20"/>
          <w:color w:val="auto"/>
        </w:rPr>
      </w:pPr>
      <w:r>
        <w:rPr>
          <w:rFonts w:ascii="Arial" w:cs="Arial" w:eastAsia="Arial" w:hAnsi="Arial"/>
          <w:sz w:val="15"/>
          <w:szCs w:val="15"/>
          <w:b w:val="1"/>
          <w:bCs w:val="1"/>
          <w:color w:val="1A475F"/>
        </w:rPr>
        <w:t>BRIGHT HORIZONS FAMILY SOLUTIONS INC.</w:t>
      </w:r>
    </w:p>
    <w:p>
      <w:pPr>
        <w:spacing w:after="0" w:line="186"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1A475F"/>
        </w:rPr>
        <w:t>PROXY STATEMENT</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1A475F"/>
        </w:rPr>
        <w:t>2026 ANNUAL MEETING OF SHAREHOLDERS</w:t>
      </w:r>
    </w:p>
    <w:p>
      <w:pPr>
        <w:spacing w:after="0" w:line="17" w:lineRule="exact"/>
        <w:rPr>
          <w:sz w:val="20"/>
          <w:szCs w:val="20"/>
          <w:color w:val="auto"/>
        </w:rPr>
      </w:pPr>
    </w:p>
    <w:p>
      <w:pPr>
        <w:jc w:val="center"/>
        <w:ind w:right="-899"/>
        <w:spacing w:after="0"/>
        <w:rPr>
          <w:sz w:val="20"/>
          <w:szCs w:val="20"/>
          <w:color w:val="auto"/>
        </w:rPr>
      </w:pPr>
      <w:r>
        <w:rPr>
          <w:rFonts w:ascii="Arial" w:cs="Arial" w:eastAsia="Arial" w:hAnsi="Arial"/>
          <w:sz w:val="15"/>
          <w:szCs w:val="15"/>
          <w:b w:val="1"/>
          <w:bCs w:val="1"/>
          <w:color w:val="1A475F"/>
        </w:rPr>
        <w:t>June 3, 2026</w:t>
      </w:r>
    </w:p>
    <w:p>
      <w:pPr>
        <w:spacing w:after="0" w:line="1" w:lineRule="exact"/>
        <w:rPr>
          <w:sz w:val="20"/>
          <w:szCs w:val="20"/>
          <w:color w:val="auto"/>
        </w:rPr>
      </w:pPr>
    </w:p>
    <w:p>
      <w:pPr>
        <w:jc w:val="center"/>
        <w:ind w:right="-899"/>
        <w:spacing w:after="0"/>
        <w:rPr>
          <w:sz w:val="20"/>
          <w:szCs w:val="20"/>
          <w:color w:val="auto"/>
        </w:rPr>
      </w:pPr>
      <w:r>
        <w:rPr>
          <w:rFonts w:ascii="Arial" w:cs="Arial" w:eastAsia="Arial" w:hAnsi="Arial"/>
          <w:sz w:val="15"/>
          <w:szCs w:val="15"/>
          <w:b w:val="1"/>
          <w:bCs w:val="1"/>
          <w:color w:val="1A475F"/>
        </w:rPr>
        <w:t>8:00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155575</wp:posOffset>
            </wp:positionV>
            <wp:extent cx="599757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7575" cy="146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900" w:right="160" w:firstLine="756"/>
        <w:spacing w:after="0" w:line="261" w:lineRule="auto"/>
        <w:rPr>
          <w:sz w:val="20"/>
          <w:szCs w:val="20"/>
          <w:color w:val="auto"/>
        </w:rPr>
      </w:pPr>
      <w:r>
        <w:rPr>
          <w:rFonts w:ascii="Arial" w:cs="Arial" w:eastAsia="Arial" w:hAnsi="Arial"/>
          <w:sz w:val="15"/>
          <w:szCs w:val="15"/>
          <w:color w:val="1A475F"/>
        </w:rPr>
        <w:t>The Board of Directors (the “Board”) of Bright Horizons Family Solutions Inc. (the “Company,” “Bright Horizons,” “we,” “our” or “us”) is soliciting your proxy for the 2026 Annual Meeting of Shareholders (the “Annual Meeting”) and at any reconvened meeting after postponement or adjournment of the Annual Meeting.</w:t>
      </w:r>
    </w:p>
    <w:p>
      <w:pPr>
        <w:spacing w:after="0" w:line="51" w:lineRule="exact"/>
        <w:rPr>
          <w:sz w:val="20"/>
          <w:szCs w:val="20"/>
          <w:color w:val="auto"/>
        </w:rPr>
      </w:pPr>
    </w:p>
    <w:p>
      <w:pPr>
        <w:jc w:val="both"/>
        <w:ind w:left="900" w:right="60" w:firstLine="756"/>
        <w:spacing w:after="0" w:line="261" w:lineRule="auto"/>
        <w:rPr>
          <w:sz w:val="20"/>
          <w:szCs w:val="20"/>
          <w:color w:val="auto"/>
        </w:rPr>
      </w:pPr>
      <w:r>
        <w:rPr>
          <w:rFonts w:ascii="Arial" w:cs="Arial" w:eastAsia="Arial" w:hAnsi="Arial"/>
          <w:sz w:val="15"/>
          <w:szCs w:val="15"/>
          <w:color w:val="1A475F"/>
        </w:rPr>
        <w:t>This Proxy Statement, the Notice of Internet Availability of Proxy Materials (the “Notice”), the proxy card and the Annual Report on Form 10-K for the year ended December 31, 2025 (the “2025 Annual Report”) are being first mailed or released to shareholders on or about April 20, 2026. Our address is 2 Wells Avenue, Newton, MA 02459.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114935</wp:posOffset>
            </wp:positionV>
            <wp:extent cx="5997575" cy="161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7575" cy="161925"/>
                    </a:xfrm>
                    <a:prstGeom prst="rect">
                      <a:avLst/>
                    </a:prstGeom>
                    <a:noFill/>
                  </pic:spPr>
                </pic:pic>
              </a:graphicData>
            </a:graphic>
          </wp:anchor>
        </w:drawing>
      </w:r>
    </w:p>
    <w:p>
      <w:pPr>
        <w:spacing w:after="0" w:line="202"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Information about the Virtual Annual Meeting</w:t>
      </w:r>
    </w:p>
    <w:p>
      <w:pPr>
        <w:spacing w:after="0" w:line="130" w:lineRule="exact"/>
        <w:rPr>
          <w:sz w:val="20"/>
          <w:szCs w:val="20"/>
          <w:color w:val="auto"/>
        </w:rPr>
      </w:pPr>
    </w:p>
    <w:p>
      <w:pPr>
        <w:ind w:left="1640" w:right="40" w:hanging="368"/>
        <w:spacing w:after="0" w:line="261" w:lineRule="auto"/>
        <w:tabs>
          <w:tab w:leader="none" w:pos="1640" w:val="left"/>
        </w:tabs>
        <w:numPr>
          <w:ilvl w:val="0"/>
          <w:numId w:val="5"/>
        </w:numPr>
        <w:rPr>
          <w:rFonts w:ascii="Arial" w:cs="Arial" w:eastAsia="Arial" w:hAnsi="Arial"/>
          <w:sz w:val="15"/>
          <w:szCs w:val="15"/>
          <w:color w:val="1A475F"/>
        </w:rPr>
      </w:pPr>
      <w:r>
        <w:rPr>
          <w:rFonts w:ascii="Arial" w:cs="Arial" w:eastAsia="Arial" w:hAnsi="Arial"/>
          <w:sz w:val="15"/>
          <w:szCs w:val="15"/>
          <w:b w:val="1"/>
          <w:bCs w:val="1"/>
          <w:i w:val="1"/>
          <w:iCs w:val="1"/>
          <w:color w:val="1A475F"/>
        </w:rPr>
        <w:t xml:space="preserve">Date and Time. </w:t>
      </w:r>
      <w:r>
        <w:rPr>
          <w:rFonts w:ascii="Arial" w:cs="Arial" w:eastAsia="Arial" w:hAnsi="Arial"/>
          <w:sz w:val="15"/>
          <w:szCs w:val="15"/>
          <w:color w:val="1A475F"/>
        </w:rPr>
        <w:t>The Annual Meeting will be held virtually on Wednesday, June 3, 2026 at 8:00 a.m. (Eastern Time). The</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meeting will be conducted via live audio webcast. You will need your 16-digit control number provided on the Notice, proxy card or voting instruction form to attend.</w:t>
      </w:r>
    </w:p>
    <w:p>
      <w:pPr>
        <w:spacing w:after="0" w:line="60" w:lineRule="exact"/>
        <w:rPr>
          <w:rFonts w:ascii="Arial" w:cs="Arial" w:eastAsia="Arial" w:hAnsi="Arial"/>
          <w:sz w:val="15"/>
          <w:szCs w:val="15"/>
          <w:color w:val="1A475F"/>
        </w:rPr>
      </w:pPr>
    </w:p>
    <w:p>
      <w:pPr>
        <w:ind w:left="1640" w:hanging="368"/>
        <w:spacing w:after="0" w:line="248" w:lineRule="auto"/>
        <w:tabs>
          <w:tab w:leader="none" w:pos="1640" w:val="left"/>
        </w:tabs>
        <w:numPr>
          <w:ilvl w:val="0"/>
          <w:numId w:val="5"/>
        </w:numPr>
        <w:rPr>
          <w:rFonts w:ascii="Arial" w:cs="Arial" w:eastAsia="Arial" w:hAnsi="Arial"/>
          <w:sz w:val="15"/>
          <w:szCs w:val="15"/>
          <w:color w:val="1A475F"/>
        </w:rPr>
      </w:pPr>
      <w:r>
        <w:rPr>
          <w:rFonts w:ascii="Arial" w:cs="Arial" w:eastAsia="Arial" w:hAnsi="Arial"/>
          <w:sz w:val="15"/>
          <w:szCs w:val="15"/>
          <w:b w:val="1"/>
          <w:bCs w:val="1"/>
          <w:i w:val="1"/>
          <w:iCs w:val="1"/>
          <w:color w:val="1A475F"/>
        </w:rPr>
        <w:t>Access to the Live Audio Webcast of the Annual Meeting</w:t>
      </w:r>
      <w:r>
        <w:rPr>
          <w:rFonts w:ascii="Arial" w:cs="Arial" w:eastAsia="Arial" w:hAnsi="Arial"/>
          <w:sz w:val="15"/>
          <w:szCs w:val="15"/>
          <w:b w:val="1"/>
          <w:bCs w:val="1"/>
          <w:color w:val="1A475F"/>
        </w:rPr>
        <w:t>.</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The live audio webcast of the Annual Meeting will begin promptly</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 xml:space="preserve">at 8:00 a.m. (Eastern Time). Online access to the live audio webcast will open approximately 15 minutes prior to the start of the Annual Meeting to allow time for you to log-in and test your computer audio system. The virtual meeting platform is fully supported across browsers (Firefox, Chrome, Edge and Safari) and devices (desktops, laptops, tablets, and cell phones) running the most updated version of applicable software and plugins. If you encounter any technical difficulties, please call the toll-free number or international number available on </w:t>
      </w:r>
      <w:r>
        <w:rPr>
          <w:rFonts w:ascii="Arial" w:cs="Arial" w:eastAsia="Arial" w:hAnsi="Arial"/>
          <w:sz w:val="15"/>
          <w:szCs w:val="15"/>
          <w:i w:val="1"/>
          <w:iCs w:val="1"/>
          <w:color w:val="1A475F"/>
        </w:rPr>
        <w:t>www.virtualshareholdermeeting.com/BFAM2026</w:t>
      </w:r>
      <w:r>
        <w:rPr>
          <w:rFonts w:ascii="Arial" w:cs="Arial" w:eastAsia="Arial" w:hAnsi="Arial"/>
          <w:sz w:val="15"/>
          <w:szCs w:val="15"/>
          <w:color w:val="1A475F"/>
        </w:rPr>
        <w:t>. Technicians will be ready to assist you with any technical difficulties beginning at 7:45 a.m. (Eastern Time).</w:t>
      </w:r>
    </w:p>
    <w:p>
      <w:pPr>
        <w:spacing w:after="0" w:line="71" w:lineRule="exact"/>
        <w:rPr>
          <w:rFonts w:ascii="Arial" w:cs="Arial" w:eastAsia="Arial" w:hAnsi="Arial"/>
          <w:sz w:val="15"/>
          <w:szCs w:val="15"/>
          <w:color w:val="1A475F"/>
        </w:rPr>
      </w:pPr>
    </w:p>
    <w:p>
      <w:pPr>
        <w:ind w:left="1640" w:right="20" w:hanging="368"/>
        <w:spacing w:after="0" w:line="247" w:lineRule="auto"/>
        <w:tabs>
          <w:tab w:leader="none" w:pos="1640" w:val="left"/>
        </w:tabs>
        <w:numPr>
          <w:ilvl w:val="0"/>
          <w:numId w:val="5"/>
        </w:numPr>
        <w:rPr>
          <w:rFonts w:ascii="Arial" w:cs="Arial" w:eastAsia="Arial" w:hAnsi="Arial"/>
          <w:sz w:val="15"/>
          <w:szCs w:val="15"/>
          <w:color w:val="1A475F"/>
        </w:rPr>
      </w:pPr>
      <w:r>
        <w:rPr>
          <w:rFonts w:ascii="Arial" w:cs="Arial" w:eastAsia="Arial" w:hAnsi="Arial"/>
          <w:sz w:val="15"/>
          <w:szCs w:val="15"/>
          <w:b w:val="1"/>
          <w:bCs w:val="1"/>
          <w:i w:val="1"/>
          <w:iCs w:val="1"/>
          <w:color w:val="1A475F"/>
        </w:rPr>
        <w:t>How to Attend and Log-in Instructions</w:t>
      </w:r>
      <w:r>
        <w:rPr>
          <w:rFonts w:ascii="Arial" w:cs="Arial" w:eastAsia="Arial" w:hAnsi="Arial"/>
          <w:sz w:val="15"/>
          <w:szCs w:val="15"/>
          <w:b w:val="1"/>
          <w:bCs w:val="1"/>
          <w:color w:val="1A475F"/>
        </w:rPr>
        <w:t>.</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To attend the Annual Meeting, you must be a Bright Horizons shareholder as of the</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 xml:space="preserve">close of business on the record date of April 8, 2026 (the “Record Date”). To attend, log-in at </w:t>
      </w:r>
      <w:r>
        <w:rPr>
          <w:rFonts w:ascii="Arial" w:cs="Arial" w:eastAsia="Arial" w:hAnsi="Arial"/>
          <w:sz w:val="15"/>
          <w:szCs w:val="15"/>
          <w:i w:val="1"/>
          <w:iCs w:val="1"/>
          <w:color w:val="1A475F"/>
        </w:rPr>
        <w:t>www.virtualshareholdermeeting.com/BFAM2026</w:t>
      </w:r>
      <w:r>
        <w:rPr>
          <w:rFonts w:ascii="Arial" w:cs="Arial" w:eastAsia="Arial" w:hAnsi="Arial"/>
          <w:sz w:val="15"/>
          <w:szCs w:val="15"/>
          <w:color w:val="1A475F"/>
        </w:rPr>
        <w:t>. You will need your 16-digit control number provided on the Notice, proxy card</w:t>
      </w:r>
      <w:r>
        <w:rPr>
          <w:rFonts w:ascii="Arial" w:cs="Arial" w:eastAsia="Arial" w:hAnsi="Arial"/>
          <w:sz w:val="15"/>
          <w:szCs w:val="15"/>
          <w:i w:val="1"/>
          <w:iCs w:val="1"/>
          <w:color w:val="1A475F"/>
        </w:rPr>
        <w:t xml:space="preserve"> </w:t>
      </w:r>
      <w:r>
        <w:rPr>
          <w:rFonts w:ascii="Arial" w:cs="Arial" w:eastAsia="Arial" w:hAnsi="Arial"/>
          <w:sz w:val="15"/>
          <w:szCs w:val="15"/>
          <w:color w:val="1A475F"/>
        </w:rPr>
        <w:t>or voting instruction form. At the virtual meeting site, you may follow the instructions to vote, access the shareholders’ list and ask questions. We recommend that you log-in 15 minutes before the meeting to ensure you are online when the meeting starts. Beneficial shareholders (i.e., shareholders who hold shares in “street name”) will be provided instructions on how to attend the Annual Meeting on the voting instruction form provided by their broker and should reach out to their broker if they have not received such instructions or have questions.</w:t>
      </w:r>
    </w:p>
    <w:p>
      <w:pPr>
        <w:spacing w:after="0" w:line="75" w:lineRule="exact"/>
        <w:rPr>
          <w:rFonts w:ascii="Arial" w:cs="Arial" w:eastAsia="Arial" w:hAnsi="Arial"/>
          <w:sz w:val="15"/>
          <w:szCs w:val="15"/>
          <w:color w:val="1A475F"/>
        </w:rPr>
      </w:pPr>
    </w:p>
    <w:p>
      <w:pPr>
        <w:ind w:left="1640" w:right="80" w:hanging="368"/>
        <w:spacing w:after="0" w:line="249" w:lineRule="auto"/>
        <w:tabs>
          <w:tab w:leader="none" w:pos="1640" w:val="left"/>
        </w:tabs>
        <w:numPr>
          <w:ilvl w:val="0"/>
          <w:numId w:val="5"/>
        </w:numPr>
        <w:rPr>
          <w:rFonts w:ascii="Arial" w:cs="Arial" w:eastAsia="Arial" w:hAnsi="Arial"/>
          <w:sz w:val="15"/>
          <w:szCs w:val="15"/>
          <w:color w:val="1A475F"/>
        </w:rPr>
      </w:pPr>
      <w:r>
        <w:rPr>
          <w:rFonts w:ascii="Arial" w:cs="Arial" w:eastAsia="Arial" w:hAnsi="Arial"/>
          <w:sz w:val="15"/>
          <w:szCs w:val="15"/>
          <w:b w:val="1"/>
          <w:bCs w:val="1"/>
          <w:i w:val="1"/>
          <w:iCs w:val="1"/>
          <w:color w:val="1A475F"/>
        </w:rPr>
        <w:t xml:space="preserve">Submitting Questions at the Virtual Annual Meeting. </w:t>
      </w:r>
      <w:r>
        <w:rPr>
          <w:rFonts w:ascii="Arial" w:cs="Arial" w:eastAsia="Arial" w:hAnsi="Arial"/>
          <w:sz w:val="15"/>
          <w:szCs w:val="15"/>
          <w:color w:val="1A475F"/>
        </w:rPr>
        <w:t>The virtual Annual Meeting format provides an opportunity for</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 xml:space="preserve">participation from any location that is convenient to an attendee, and we are committed to ensuring that our shareholders have an opportunity to participate in, and pose questions at, the virtual meeting. Shareholders may submit questions, if any, during the Annual Meeting by logging onto </w:t>
      </w:r>
      <w:r>
        <w:rPr>
          <w:rFonts w:ascii="Arial" w:cs="Arial" w:eastAsia="Arial" w:hAnsi="Arial"/>
          <w:sz w:val="15"/>
          <w:szCs w:val="15"/>
          <w:i w:val="1"/>
          <w:iCs w:val="1"/>
          <w:color w:val="1A475F"/>
        </w:rPr>
        <w:t>www.virtualshareholdermeeting.com/BFAM2026</w:t>
      </w:r>
      <w:r>
        <w:rPr>
          <w:rFonts w:ascii="Arial" w:cs="Arial" w:eastAsia="Arial" w:hAnsi="Arial"/>
          <w:sz w:val="15"/>
          <w:szCs w:val="15"/>
          <w:color w:val="1A475F"/>
        </w:rPr>
        <w:t xml:space="preserve"> using your 16-digit control number. Questions pertinent to meeting matters will be answered during the meeting, subject to time constraints. Rules of Conduct for the Annual Meeting, including procedures for shareholder questions, will be posted on the virtual meeting platform.</w:t>
      </w:r>
    </w:p>
    <w:p>
      <w:pPr>
        <w:spacing w:after="0" w:line="72" w:lineRule="exact"/>
        <w:rPr>
          <w:rFonts w:ascii="Arial" w:cs="Arial" w:eastAsia="Arial" w:hAnsi="Arial"/>
          <w:sz w:val="15"/>
          <w:szCs w:val="15"/>
          <w:color w:val="1A475F"/>
        </w:rPr>
      </w:pPr>
    </w:p>
    <w:p>
      <w:pPr>
        <w:ind w:left="1640" w:right="220" w:hanging="368"/>
        <w:spacing w:after="0" w:line="249" w:lineRule="auto"/>
        <w:tabs>
          <w:tab w:leader="none" w:pos="1640" w:val="left"/>
        </w:tabs>
        <w:numPr>
          <w:ilvl w:val="0"/>
          <w:numId w:val="5"/>
        </w:numPr>
        <w:rPr>
          <w:rFonts w:ascii="Arial" w:cs="Arial" w:eastAsia="Arial" w:hAnsi="Arial"/>
          <w:sz w:val="15"/>
          <w:szCs w:val="15"/>
          <w:color w:val="1A475F"/>
        </w:rPr>
      </w:pPr>
      <w:r>
        <w:rPr>
          <w:rFonts w:ascii="Arial" w:cs="Arial" w:eastAsia="Arial" w:hAnsi="Arial"/>
          <w:sz w:val="15"/>
          <w:szCs w:val="15"/>
          <w:b w:val="1"/>
          <w:bCs w:val="1"/>
          <w:i w:val="1"/>
          <w:iCs w:val="1"/>
          <w:color w:val="1A475F"/>
        </w:rPr>
        <w:t xml:space="preserve">Voting Your Shares at the Virtual Annual Meeting. </w:t>
      </w:r>
      <w:r>
        <w:rPr>
          <w:rFonts w:ascii="Arial" w:cs="Arial" w:eastAsia="Arial" w:hAnsi="Arial"/>
          <w:sz w:val="15"/>
          <w:szCs w:val="15"/>
          <w:color w:val="1A475F"/>
        </w:rPr>
        <w:t>You may vote your shares at the Annual Meeting by following the</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instructions available on the meeting website during the meeting even if you have previously submitted your vote. If you hold your shares through a broker, your shares will not be voted unless (i) you provide voting instructions to your broker or (ii) the matter is one for which brokers have discretionary authority to vote. Of the matters to be voted on at the Annual Meeting, the only one for which brokers have discretionary authority to vote is Proposal 3 (Ratification of Appointment of Independent Registered Public Accounting Firm).</w:t>
      </w:r>
    </w:p>
    <w:p>
      <w:pPr>
        <w:spacing w:after="0" w:line="93" w:lineRule="exact"/>
        <w:rPr>
          <w:sz w:val="20"/>
          <w:szCs w:val="20"/>
          <w:color w:val="auto"/>
        </w:rPr>
      </w:pPr>
    </w:p>
    <w:p>
      <w:pPr>
        <w:jc w:val="right"/>
        <w:spacing w:after="0"/>
        <w:tabs>
          <w:tab w:leader="none" w:pos="320" w:val="left"/>
          <w:tab w:leader="none" w:pos="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1</w:t>
      </w:r>
    </w:p>
    <w:p>
      <w:pPr>
        <w:sectPr>
          <w:pgSz w:w="11900" w:h="16838" w:orient="portrait"/>
          <w:cols w:equalWidth="0" w:num="1">
            <w:col w:w="10340"/>
          </w:cols>
          <w:pgMar w:left="320" w:top="433" w:right="1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189230</wp:posOffset>
            </wp:positionV>
            <wp:extent cx="5997575" cy="161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97575" cy="161925"/>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Proxies, Voting Procedures and How to Vote</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1A475F"/>
        </w:rPr>
        <w:t xml:space="preserve">Your vote is important. </w:t>
      </w:r>
      <w:r>
        <w:rPr>
          <w:rFonts w:ascii="Arial" w:cs="Arial" w:eastAsia="Arial" w:hAnsi="Arial"/>
          <w:sz w:val="15"/>
          <w:szCs w:val="15"/>
          <w:color w:val="1A475F"/>
        </w:rPr>
        <w:t>You may vote in one of four ways:</w:t>
      </w:r>
    </w:p>
    <w:p>
      <w:pPr>
        <w:spacing w:after="0" w:line="206" w:lineRule="exact"/>
        <w:rPr>
          <w:sz w:val="20"/>
          <w:szCs w:val="20"/>
          <w:color w:val="auto"/>
        </w:rPr>
      </w:pPr>
    </w:p>
    <w:tbl>
      <w:tblPr>
        <w:tblLayout w:type="fixed"/>
        <w:tblInd w:w="910" w:type="dxa"/>
        <w:tblCellMar>
          <w:top w:w="0" w:type="dxa"/>
          <w:left w:w="0" w:type="dxa"/>
          <w:bottom w:w="0" w:type="dxa"/>
          <w:right w:w="0" w:type="dxa"/>
        </w:tblCellMar>
      </w:tblPr>
      <w:tr>
        <w:trPr>
          <w:trHeight w:val="901"/>
        </w:trPr>
        <w:tc>
          <w:tcPr>
            <w:tcW w:w="2480" w:type="dxa"/>
            <w:vAlign w:val="bottom"/>
            <w:tcBorders>
              <w:top w:val="single" w:sz="8" w:color="1A475F"/>
              <w:left w:val="single" w:sz="8" w:color="1A475F"/>
              <w:right w:val="single" w:sz="8" w:color="1A475F"/>
            </w:tcBorders>
          </w:tcPr>
          <w:p>
            <w:pPr>
              <w:jc w:val="center"/>
              <w:ind w:left="33"/>
              <w:spacing w:after="0"/>
              <w:rPr>
                <w:sz w:val="20"/>
                <w:szCs w:val="20"/>
                <w:color w:val="auto"/>
              </w:rPr>
            </w:pPr>
            <w:r>
              <w:rPr>
                <w:rFonts w:ascii="Arial" w:cs="Arial" w:eastAsia="Arial" w:hAnsi="Arial"/>
                <w:sz w:val="15"/>
                <w:szCs w:val="15"/>
                <w:b w:val="1"/>
                <w:bCs w:val="1"/>
                <w:color w:val="1A475F"/>
              </w:rPr>
              <w:t>Vote on the Internet</w:t>
            </w:r>
          </w:p>
        </w:tc>
        <w:tc>
          <w:tcPr>
            <w:tcW w:w="2360" w:type="dxa"/>
            <w:vAlign w:val="bottom"/>
            <w:tcBorders>
              <w:top w:val="single" w:sz="8" w:color="1A475F"/>
              <w:right w:val="single" w:sz="8" w:color="1A475F"/>
            </w:tcBorders>
          </w:tcPr>
          <w:p>
            <w:pPr>
              <w:jc w:val="center"/>
              <w:spacing w:after="0"/>
              <w:rPr>
                <w:sz w:val="20"/>
                <w:szCs w:val="20"/>
                <w:color w:val="auto"/>
              </w:rPr>
            </w:pPr>
            <w:r>
              <w:rPr>
                <w:rFonts w:ascii="Arial" w:cs="Arial" w:eastAsia="Arial" w:hAnsi="Arial"/>
                <w:sz w:val="15"/>
                <w:szCs w:val="15"/>
                <w:b w:val="1"/>
                <w:bCs w:val="1"/>
                <w:color w:val="1A475F"/>
              </w:rPr>
              <w:t>Vote by Telephone</w:t>
            </w:r>
          </w:p>
        </w:tc>
        <w:tc>
          <w:tcPr>
            <w:tcW w:w="2360" w:type="dxa"/>
            <w:vAlign w:val="bottom"/>
            <w:tcBorders>
              <w:top w:val="single" w:sz="8" w:color="1A475F"/>
              <w:right w:val="single" w:sz="8" w:color="1A475F"/>
            </w:tcBorders>
          </w:tcPr>
          <w:p>
            <w:pPr>
              <w:jc w:val="center"/>
              <w:spacing w:after="0"/>
              <w:rPr>
                <w:sz w:val="20"/>
                <w:szCs w:val="20"/>
                <w:color w:val="auto"/>
              </w:rPr>
            </w:pPr>
            <w:r>
              <w:rPr>
                <w:rFonts w:ascii="Arial" w:cs="Arial" w:eastAsia="Arial" w:hAnsi="Arial"/>
                <w:sz w:val="15"/>
                <w:szCs w:val="15"/>
                <w:b w:val="1"/>
                <w:bCs w:val="1"/>
                <w:color w:val="1A475F"/>
              </w:rPr>
              <w:t>Vote by Mail</w:t>
            </w:r>
          </w:p>
        </w:tc>
        <w:tc>
          <w:tcPr>
            <w:tcW w:w="2260" w:type="dxa"/>
            <w:vAlign w:val="bottom"/>
            <w:tcBorders>
              <w:top w:val="single" w:sz="8" w:color="1A475F"/>
              <w:right w:val="single" w:sz="8" w:color="1A475F"/>
            </w:tcBorders>
          </w:tcPr>
          <w:p>
            <w:pPr>
              <w:jc w:val="center"/>
              <w:spacing w:after="0"/>
              <w:rPr>
                <w:sz w:val="20"/>
                <w:szCs w:val="20"/>
                <w:color w:val="auto"/>
              </w:rPr>
            </w:pPr>
            <w:r>
              <w:rPr>
                <w:rFonts w:ascii="Arial" w:cs="Arial" w:eastAsia="Arial" w:hAnsi="Arial"/>
                <w:sz w:val="15"/>
                <w:szCs w:val="15"/>
                <w:b w:val="1"/>
                <w:bCs w:val="1"/>
                <w:color w:val="1A475F"/>
              </w:rPr>
              <w:t>Vote at the Annual Meeting</w:t>
            </w:r>
          </w:p>
        </w:tc>
      </w:tr>
      <w:tr>
        <w:trPr>
          <w:trHeight w:val="225"/>
        </w:trPr>
        <w:tc>
          <w:tcPr>
            <w:tcW w:w="2480" w:type="dxa"/>
            <w:vAlign w:val="bottom"/>
            <w:tcBorders>
              <w:left w:val="single" w:sz="8" w:color="1A475F"/>
              <w:right w:val="single" w:sz="8" w:color="1A475F"/>
            </w:tcBorders>
          </w:tcPr>
          <w:p>
            <w:pPr>
              <w:jc w:val="center"/>
              <w:ind w:left="33"/>
              <w:spacing w:after="0"/>
              <w:rPr>
                <w:sz w:val="20"/>
                <w:szCs w:val="20"/>
                <w:color w:val="auto"/>
              </w:rPr>
            </w:pPr>
            <w:r>
              <w:rPr>
                <w:rFonts w:ascii="Arial" w:cs="Arial" w:eastAsia="Arial" w:hAnsi="Arial"/>
                <w:sz w:val="12"/>
                <w:szCs w:val="12"/>
                <w:color w:val="1A475F"/>
              </w:rPr>
              <w:t>Visit the website listed on your Notice,</w:t>
            </w:r>
          </w:p>
        </w:tc>
        <w:tc>
          <w:tcPr>
            <w:tcW w:w="2360" w:type="dxa"/>
            <w:vAlign w:val="bottom"/>
            <w:tcBorders>
              <w:right w:val="single" w:sz="8" w:color="1A475F"/>
            </w:tcBorders>
          </w:tcPr>
          <w:p>
            <w:pPr>
              <w:jc w:val="center"/>
              <w:spacing w:after="0"/>
              <w:rPr>
                <w:sz w:val="20"/>
                <w:szCs w:val="20"/>
                <w:color w:val="auto"/>
              </w:rPr>
            </w:pPr>
            <w:r>
              <w:rPr>
                <w:rFonts w:ascii="Arial" w:cs="Arial" w:eastAsia="Arial" w:hAnsi="Arial"/>
                <w:sz w:val="12"/>
                <w:szCs w:val="12"/>
                <w:color w:val="1A475F"/>
              </w:rPr>
              <w:t>Call the toll free telephone number on</w:t>
            </w:r>
          </w:p>
        </w:tc>
        <w:tc>
          <w:tcPr>
            <w:tcW w:w="2360" w:type="dxa"/>
            <w:vAlign w:val="bottom"/>
            <w:tcBorders>
              <w:right w:val="single" w:sz="8" w:color="1A475F"/>
            </w:tcBorders>
          </w:tcPr>
          <w:p>
            <w:pPr>
              <w:jc w:val="center"/>
              <w:spacing w:after="0"/>
              <w:rPr>
                <w:sz w:val="20"/>
                <w:szCs w:val="20"/>
                <w:color w:val="auto"/>
              </w:rPr>
            </w:pPr>
            <w:r>
              <w:rPr>
                <w:rFonts w:ascii="Arial" w:cs="Arial" w:eastAsia="Arial" w:hAnsi="Arial"/>
                <w:sz w:val="12"/>
                <w:szCs w:val="12"/>
                <w:color w:val="1A475F"/>
              </w:rPr>
              <w:t>Sign, date and return your proxy card or</w:t>
            </w:r>
          </w:p>
        </w:tc>
        <w:tc>
          <w:tcPr>
            <w:tcW w:w="2260" w:type="dxa"/>
            <w:vAlign w:val="bottom"/>
            <w:tcBorders>
              <w:right w:val="single" w:sz="8" w:color="1A475F"/>
            </w:tcBorders>
          </w:tcPr>
          <w:p>
            <w:pPr>
              <w:jc w:val="center"/>
              <w:spacing w:after="0"/>
              <w:rPr>
                <w:sz w:val="20"/>
                <w:szCs w:val="20"/>
                <w:color w:val="auto"/>
              </w:rPr>
            </w:pPr>
            <w:r>
              <w:rPr>
                <w:rFonts w:ascii="Arial" w:cs="Arial" w:eastAsia="Arial" w:hAnsi="Arial"/>
                <w:sz w:val="12"/>
                <w:szCs w:val="12"/>
                <w:color w:val="1A475F"/>
              </w:rPr>
              <w:t>Attend the Annual Meeting at</w:t>
            </w:r>
          </w:p>
        </w:tc>
      </w:tr>
      <w:tr>
        <w:trPr>
          <w:trHeight w:val="139"/>
        </w:trPr>
        <w:tc>
          <w:tcPr>
            <w:tcW w:w="2480" w:type="dxa"/>
            <w:vAlign w:val="bottom"/>
            <w:tcBorders>
              <w:left w:val="single" w:sz="8" w:color="1A475F"/>
              <w:right w:val="single" w:sz="8" w:color="1A475F"/>
            </w:tcBorders>
          </w:tcPr>
          <w:p>
            <w:pPr>
              <w:jc w:val="center"/>
              <w:ind w:left="33"/>
              <w:spacing w:after="0"/>
              <w:rPr>
                <w:sz w:val="20"/>
                <w:szCs w:val="20"/>
                <w:color w:val="auto"/>
              </w:rPr>
            </w:pPr>
            <w:r>
              <w:rPr>
                <w:rFonts w:ascii="Arial" w:cs="Arial" w:eastAsia="Arial" w:hAnsi="Arial"/>
                <w:sz w:val="12"/>
                <w:szCs w:val="12"/>
                <w:color w:val="1A475F"/>
              </w:rPr>
              <w:t>proxy card or voting instruction form</w:t>
            </w:r>
          </w:p>
        </w:tc>
        <w:tc>
          <w:tcPr>
            <w:tcW w:w="2360" w:type="dxa"/>
            <w:vAlign w:val="bottom"/>
            <w:tcBorders>
              <w:right w:val="single" w:sz="8" w:color="1A475F"/>
            </w:tcBorders>
          </w:tcPr>
          <w:p>
            <w:pPr>
              <w:jc w:val="center"/>
              <w:spacing w:after="0"/>
              <w:rPr>
                <w:sz w:val="20"/>
                <w:szCs w:val="20"/>
                <w:color w:val="auto"/>
              </w:rPr>
            </w:pPr>
            <w:r>
              <w:rPr>
                <w:rFonts w:ascii="Arial" w:cs="Arial" w:eastAsia="Arial" w:hAnsi="Arial"/>
                <w:sz w:val="12"/>
                <w:szCs w:val="12"/>
                <w:color w:val="1A475F"/>
              </w:rPr>
              <w:t>your proxy card or voting instruction form</w:t>
            </w:r>
          </w:p>
        </w:tc>
        <w:tc>
          <w:tcPr>
            <w:tcW w:w="2360" w:type="dxa"/>
            <w:vAlign w:val="bottom"/>
            <w:tcBorders>
              <w:right w:val="single" w:sz="8" w:color="1A475F"/>
            </w:tcBorders>
          </w:tcPr>
          <w:p>
            <w:pPr>
              <w:jc w:val="center"/>
              <w:spacing w:after="0"/>
              <w:rPr>
                <w:sz w:val="20"/>
                <w:szCs w:val="20"/>
                <w:color w:val="auto"/>
              </w:rPr>
            </w:pPr>
            <w:r>
              <w:rPr>
                <w:rFonts w:ascii="Arial" w:cs="Arial" w:eastAsia="Arial" w:hAnsi="Arial"/>
                <w:sz w:val="12"/>
                <w:szCs w:val="12"/>
                <w:color w:val="1A475F"/>
              </w:rPr>
              <w:t>voting instruction form</w:t>
            </w:r>
          </w:p>
        </w:tc>
        <w:tc>
          <w:tcPr>
            <w:tcW w:w="2260" w:type="dxa"/>
            <w:vAlign w:val="bottom"/>
            <w:tcBorders>
              <w:right w:val="single" w:sz="8" w:color="1A475F"/>
            </w:tcBorders>
          </w:tcPr>
          <w:p>
            <w:pPr>
              <w:jc w:val="center"/>
              <w:spacing w:after="0"/>
              <w:rPr>
                <w:sz w:val="20"/>
                <w:szCs w:val="20"/>
                <w:color w:val="auto"/>
              </w:rPr>
            </w:pPr>
            <w:r>
              <w:rPr>
                <w:rFonts w:ascii="Arial" w:cs="Arial" w:eastAsia="Arial" w:hAnsi="Arial"/>
                <w:sz w:val="12"/>
                <w:szCs w:val="12"/>
                <w:i w:val="1"/>
                <w:iCs w:val="1"/>
                <w:color w:val="1A475F"/>
              </w:rPr>
              <w:t>www.virtualshareholdermeeting.</w:t>
            </w:r>
          </w:p>
        </w:tc>
      </w:tr>
      <w:tr>
        <w:trPr>
          <w:trHeight w:val="139"/>
        </w:trPr>
        <w:tc>
          <w:tcPr>
            <w:tcW w:w="2480" w:type="dxa"/>
            <w:vAlign w:val="bottom"/>
            <w:tcBorders>
              <w:left w:val="single" w:sz="8" w:color="1A475F"/>
              <w:right w:val="single" w:sz="8" w:color="1A475F"/>
            </w:tcBorders>
          </w:tcPr>
          <w:p>
            <w:pPr>
              <w:spacing w:after="0"/>
              <w:rPr>
                <w:sz w:val="12"/>
                <w:szCs w:val="12"/>
                <w:color w:val="auto"/>
              </w:rPr>
            </w:pPr>
          </w:p>
        </w:tc>
        <w:tc>
          <w:tcPr>
            <w:tcW w:w="2360" w:type="dxa"/>
            <w:vAlign w:val="bottom"/>
            <w:tcBorders>
              <w:right w:val="single" w:sz="8" w:color="1A475F"/>
            </w:tcBorders>
          </w:tcPr>
          <w:p>
            <w:pPr>
              <w:spacing w:after="0"/>
              <w:rPr>
                <w:sz w:val="12"/>
                <w:szCs w:val="12"/>
                <w:color w:val="auto"/>
              </w:rPr>
            </w:pPr>
          </w:p>
        </w:tc>
        <w:tc>
          <w:tcPr>
            <w:tcW w:w="2360" w:type="dxa"/>
            <w:vAlign w:val="bottom"/>
            <w:tcBorders>
              <w:right w:val="single" w:sz="8" w:color="1A475F"/>
            </w:tcBorders>
          </w:tcPr>
          <w:p>
            <w:pPr>
              <w:spacing w:after="0"/>
              <w:rPr>
                <w:sz w:val="12"/>
                <w:szCs w:val="12"/>
                <w:color w:val="auto"/>
              </w:rPr>
            </w:pPr>
          </w:p>
        </w:tc>
        <w:tc>
          <w:tcPr>
            <w:tcW w:w="2260" w:type="dxa"/>
            <w:vAlign w:val="bottom"/>
            <w:tcBorders>
              <w:right w:val="single" w:sz="8" w:color="1A475F"/>
            </w:tcBorders>
          </w:tcPr>
          <w:p>
            <w:pPr>
              <w:jc w:val="center"/>
              <w:spacing w:after="0"/>
              <w:rPr>
                <w:sz w:val="20"/>
                <w:szCs w:val="20"/>
                <w:color w:val="auto"/>
              </w:rPr>
            </w:pPr>
            <w:r>
              <w:rPr>
                <w:rFonts w:ascii="Arial" w:cs="Arial" w:eastAsia="Arial" w:hAnsi="Arial"/>
                <w:sz w:val="12"/>
                <w:szCs w:val="12"/>
                <w:i w:val="1"/>
                <w:iCs w:val="1"/>
                <w:color w:val="1A475F"/>
              </w:rPr>
              <w:t xml:space="preserve">com/BFAM2026 </w:t>
            </w:r>
            <w:r>
              <w:rPr>
                <w:rFonts w:ascii="Arial" w:cs="Arial" w:eastAsia="Arial" w:hAnsi="Arial"/>
                <w:sz w:val="12"/>
                <w:szCs w:val="12"/>
                <w:color w:val="1A475F"/>
              </w:rPr>
              <w:t>and follow the</w:t>
            </w:r>
          </w:p>
        </w:tc>
      </w:tr>
      <w:tr>
        <w:trPr>
          <w:trHeight w:val="162"/>
        </w:trPr>
        <w:tc>
          <w:tcPr>
            <w:tcW w:w="2480" w:type="dxa"/>
            <w:vAlign w:val="bottom"/>
            <w:tcBorders>
              <w:left w:val="single" w:sz="8" w:color="1A475F"/>
              <w:right w:val="single" w:sz="8" w:color="1A475F"/>
            </w:tcBorders>
          </w:tcPr>
          <w:p>
            <w:pPr>
              <w:spacing w:after="0"/>
              <w:rPr>
                <w:sz w:val="14"/>
                <w:szCs w:val="14"/>
                <w:color w:val="auto"/>
              </w:rPr>
            </w:pPr>
          </w:p>
        </w:tc>
        <w:tc>
          <w:tcPr>
            <w:tcW w:w="2360" w:type="dxa"/>
            <w:vAlign w:val="bottom"/>
            <w:tcBorders>
              <w:right w:val="single" w:sz="8" w:color="1A475F"/>
            </w:tcBorders>
          </w:tcPr>
          <w:p>
            <w:pPr>
              <w:spacing w:after="0"/>
              <w:rPr>
                <w:sz w:val="14"/>
                <w:szCs w:val="14"/>
                <w:color w:val="auto"/>
              </w:rPr>
            </w:pPr>
          </w:p>
        </w:tc>
        <w:tc>
          <w:tcPr>
            <w:tcW w:w="2360" w:type="dxa"/>
            <w:vAlign w:val="bottom"/>
            <w:tcBorders>
              <w:right w:val="single" w:sz="8" w:color="1A475F"/>
            </w:tcBorders>
          </w:tcPr>
          <w:p>
            <w:pPr>
              <w:spacing w:after="0"/>
              <w:rPr>
                <w:sz w:val="14"/>
                <w:szCs w:val="14"/>
                <w:color w:val="auto"/>
              </w:rPr>
            </w:pPr>
          </w:p>
        </w:tc>
        <w:tc>
          <w:tcPr>
            <w:tcW w:w="2260" w:type="dxa"/>
            <w:vAlign w:val="bottom"/>
            <w:tcBorders>
              <w:right w:val="single" w:sz="8" w:color="1A475F"/>
            </w:tcBorders>
          </w:tcPr>
          <w:p>
            <w:pPr>
              <w:jc w:val="center"/>
              <w:spacing w:after="0"/>
              <w:rPr>
                <w:sz w:val="20"/>
                <w:szCs w:val="20"/>
                <w:color w:val="auto"/>
              </w:rPr>
            </w:pPr>
            <w:r>
              <w:rPr>
                <w:rFonts w:ascii="Arial" w:cs="Arial" w:eastAsia="Arial" w:hAnsi="Arial"/>
                <w:sz w:val="12"/>
                <w:szCs w:val="12"/>
                <w:color w:val="1A475F"/>
              </w:rPr>
              <w:t>instructions on the website</w:t>
            </w:r>
          </w:p>
        </w:tc>
      </w:tr>
      <w:tr>
        <w:trPr>
          <w:trHeight w:val="58"/>
        </w:trPr>
        <w:tc>
          <w:tcPr>
            <w:tcW w:w="2480" w:type="dxa"/>
            <w:vAlign w:val="bottom"/>
            <w:tcBorders>
              <w:left w:val="single" w:sz="8" w:color="1A475F"/>
              <w:bottom w:val="single" w:sz="8" w:color="1A475F"/>
              <w:right w:val="single" w:sz="8" w:color="1A475F"/>
            </w:tcBorders>
          </w:tcPr>
          <w:p>
            <w:pPr>
              <w:spacing w:after="0"/>
              <w:rPr>
                <w:sz w:val="5"/>
                <w:szCs w:val="5"/>
                <w:color w:val="auto"/>
              </w:rPr>
            </w:pPr>
          </w:p>
        </w:tc>
        <w:tc>
          <w:tcPr>
            <w:tcW w:w="2360" w:type="dxa"/>
            <w:vAlign w:val="bottom"/>
            <w:tcBorders>
              <w:bottom w:val="single" w:sz="8" w:color="1A475F"/>
              <w:right w:val="single" w:sz="8" w:color="1A475F"/>
            </w:tcBorders>
          </w:tcPr>
          <w:p>
            <w:pPr>
              <w:spacing w:after="0"/>
              <w:rPr>
                <w:sz w:val="5"/>
                <w:szCs w:val="5"/>
                <w:color w:val="auto"/>
              </w:rPr>
            </w:pPr>
          </w:p>
        </w:tc>
        <w:tc>
          <w:tcPr>
            <w:tcW w:w="2360" w:type="dxa"/>
            <w:vAlign w:val="bottom"/>
            <w:tcBorders>
              <w:bottom w:val="single" w:sz="8" w:color="1A475F"/>
              <w:right w:val="single" w:sz="8" w:color="1A475F"/>
            </w:tcBorders>
          </w:tcPr>
          <w:p>
            <w:pPr>
              <w:spacing w:after="0"/>
              <w:rPr>
                <w:sz w:val="5"/>
                <w:szCs w:val="5"/>
                <w:color w:val="auto"/>
              </w:rPr>
            </w:pPr>
          </w:p>
        </w:tc>
        <w:tc>
          <w:tcPr>
            <w:tcW w:w="2260" w:type="dxa"/>
            <w:vAlign w:val="bottom"/>
            <w:tcBorders>
              <w:bottom w:val="single" w:sz="8" w:color="1A475F"/>
              <w:right w:val="single" w:sz="8" w:color="1A475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-969645</wp:posOffset>
            </wp:positionV>
            <wp:extent cx="367665" cy="337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7665" cy="337820"/>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-977265</wp:posOffset>
            </wp:positionV>
            <wp:extent cx="433705" cy="345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3705" cy="34544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-969645</wp:posOffset>
            </wp:positionV>
            <wp:extent cx="448310" cy="337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8310" cy="337820"/>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-947420</wp:posOffset>
            </wp:positionV>
            <wp:extent cx="683895" cy="316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895" cy="316230"/>
                    </a:xfrm>
                    <a:prstGeom prst="rect">
                      <a:avLst/>
                    </a:prstGeom>
                    <a:noFill/>
                  </pic:spPr>
                </pic:pic>
              </a:graphicData>
            </a:graphic>
          </wp:anchor>
        </w:drawing>
      </w:r>
    </w:p>
    <w:p>
      <w:pPr>
        <w:spacing w:after="0" w:line="150" w:lineRule="exact"/>
        <w:rPr>
          <w:sz w:val="20"/>
          <w:szCs w:val="20"/>
          <w:color w:val="auto"/>
        </w:rPr>
      </w:pPr>
    </w:p>
    <w:p>
      <w:pPr>
        <w:ind w:left="900" w:right="140" w:firstLine="756"/>
        <w:spacing w:after="0" w:line="249" w:lineRule="auto"/>
        <w:rPr>
          <w:sz w:val="20"/>
          <w:szCs w:val="20"/>
          <w:color w:val="auto"/>
        </w:rPr>
      </w:pPr>
      <w:r>
        <w:rPr>
          <w:rFonts w:ascii="Arial" w:cs="Arial" w:eastAsia="Arial" w:hAnsi="Arial"/>
          <w:sz w:val="15"/>
          <w:szCs w:val="15"/>
          <w:color w:val="1A475F"/>
        </w:rPr>
        <w:t xml:space="preserve">Both Internet and telephone voting provide easy-to -follow instructions and have procedures designed to authenticate your identity and permit you to confirm that your voting instructions are accurately reflected. If your shares are held through a broker, you may vote by Internet or telephone if your broker makes those methods available, in which case your broker will deliver instructions with this Proxy Statement. Alternatively, you may vote by signing and returning the proxy card. The Internet and telephone voting for shareholders of record will close at </w:t>
      </w:r>
      <w:r>
        <w:rPr>
          <w:rFonts w:ascii="Arial" w:cs="Arial" w:eastAsia="Arial" w:hAnsi="Arial"/>
          <w:sz w:val="15"/>
          <w:szCs w:val="15"/>
          <w:b w:val="1"/>
          <w:bCs w:val="1"/>
          <w:color w:val="1A475F"/>
        </w:rPr>
        <w:t>11:59 p.m. (Eastern Time) on Tuesday, June 2, 2026.</w:t>
      </w:r>
      <w:r>
        <w:rPr>
          <w:rFonts w:ascii="Arial" w:cs="Arial" w:eastAsia="Arial" w:hAnsi="Arial"/>
          <w:sz w:val="15"/>
          <w:szCs w:val="15"/>
          <w:color w:val="1A475F"/>
        </w:rPr>
        <w:t xml:space="preserve"> If your shares are held through a broker (i.e., in “street name”) and Internet or telephone voting is made available to you, such voting may close sooner than voting for shareholders of record.</w:t>
      </w:r>
    </w:p>
    <w:p>
      <w:pPr>
        <w:spacing w:after="0" w:line="61" w:lineRule="exact"/>
        <w:rPr>
          <w:sz w:val="20"/>
          <w:szCs w:val="20"/>
          <w:color w:val="auto"/>
        </w:rPr>
      </w:pPr>
    </w:p>
    <w:p>
      <w:pPr>
        <w:ind w:left="900" w:right="160" w:firstLine="756"/>
        <w:spacing w:after="0" w:line="255" w:lineRule="auto"/>
        <w:rPr>
          <w:sz w:val="20"/>
          <w:szCs w:val="20"/>
          <w:color w:val="auto"/>
        </w:rPr>
      </w:pPr>
      <w:r>
        <w:rPr>
          <w:rFonts w:ascii="Arial" w:cs="Arial" w:eastAsia="Arial" w:hAnsi="Arial"/>
          <w:sz w:val="15"/>
          <w:szCs w:val="15"/>
          <w:color w:val="1A475F"/>
        </w:rPr>
        <w:t>The method by which you vote will not limit your right to vote at the Annual Meeting if you later decide to attend. You may revoke your proxy at any time before it is voted by voting later by telephone or Internet, returning a later-dated proxy card or voting instruction form, delivering a written revocation to the Corporate Secretary of Bright Horizons at the address above, or by voting online at the Annual Meeting.</w:t>
      </w:r>
    </w:p>
    <w:p>
      <w:pPr>
        <w:spacing w:after="0" w:line="54" w:lineRule="exact"/>
        <w:rPr>
          <w:sz w:val="20"/>
          <w:szCs w:val="20"/>
          <w:color w:val="auto"/>
        </w:rPr>
      </w:pPr>
    </w:p>
    <w:p>
      <w:pPr>
        <w:ind w:left="900" w:right="160" w:firstLine="756"/>
        <w:spacing w:after="0" w:line="261" w:lineRule="auto"/>
        <w:rPr>
          <w:sz w:val="20"/>
          <w:szCs w:val="20"/>
          <w:color w:val="auto"/>
        </w:rPr>
      </w:pPr>
      <w:r>
        <w:rPr>
          <w:rFonts w:ascii="Arial" w:cs="Arial" w:eastAsia="Arial" w:hAnsi="Arial"/>
          <w:sz w:val="15"/>
          <w:szCs w:val="15"/>
          <w:color w:val="1A475F"/>
        </w:rPr>
        <w:t xml:space="preserve">If you vote your shares by mail, telephone or Internet, your shares will be voted in accordance with your instructions. If you do not indicate specific choices when you vote by mail, telephone or Internet, your shares will be voted </w:t>
      </w:r>
      <w:r>
        <w:rPr>
          <w:rFonts w:ascii="Arial" w:cs="Arial" w:eastAsia="Arial" w:hAnsi="Arial"/>
          <w:sz w:val="15"/>
          <w:szCs w:val="15"/>
          <w:b w:val="1"/>
          <w:bCs w:val="1"/>
          <w:color w:val="1A475F"/>
        </w:rPr>
        <w:t>“FOR”</w:t>
      </w:r>
      <w:r>
        <w:rPr>
          <w:rFonts w:ascii="Arial" w:cs="Arial" w:eastAsia="Arial" w:hAnsi="Arial"/>
          <w:sz w:val="15"/>
          <w:szCs w:val="15"/>
          <w:color w:val="1A475F"/>
        </w:rPr>
        <w:t xml:space="preserve"> the proposals as the Board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114935</wp:posOffset>
            </wp:positionV>
            <wp:extent cx="5997575" cy="161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97575" cy="161925"/>
                    </a:xfrm>
                    <a:prstGeom prst="rect">
                      <a:avLst/>
                    </a:prstGeom>
                    <a:noFill/>
                  </pic:spPr>
                </pic:pic>
              </a:graphicData>
            </a:graphic>
          </wp:anchor>
        </w:drawing>
      </w:r>
    </w:p>
    <w:p>
      <w:pPr>
        <w:spacing w:after="0" w:line="202"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Shareholders Entitled to Vote</w:t>
      </w:r>
    </w:p>
    <w:p>
      <w:pPr>
        <w:spacing w:after="0" w:line="119" w:lineRule="exact"/>
        <w:rPr>
          <w:sz w:val="20"/>
          <w:szCs w:val="20"/>
          <w:color w:val="auto"/>
        </w:rPr>
      </w:pPr>
    </w:p>
    <w:p>
      <w:pPr>
        <w:jc w:val="both"/>
        <w:ind w:left="900" w:right="120" w:firstLine="756"/>
        <w:spacing w:after="0" w:line="261" w:lineRule="auto"/>
        <w:rPr>
          <w:sz w:val="20"/>
          <w:szCs w:val="20"/>
          <w:color w:val="auto"/>
        </w:rPr>
      </w:pPr>
      <w:r>
        <w:rPr>
          <w:rFonts w:ascii="Arial" w:cs="Arial" w:eastAsia="Arial" w:hAnsi="Arial"/>
          <w:sz w:val="15"/>
          <w:szCs w:val="15"/>
          <w:color w:val="1A475F"/>
        </w:rPr>
        <w:t xml:space="preserve">Shareholders of record at the close of business on the Record Date are entitled to vote at the meeting. As of the Record Date, there were </w:t>
      </w:r>
      <w:r>
        <w:rPr>
          <w:rFonts w:ascii="Arial" w:cs="Arial" w:eastAsia="Arial" w:hAnsi="Arial"/>
          <w:sz w:val="15"/>
          <w:szCs w:val="15"/>
          <w:b w:val="1"/>
          <w:bCs w:val="1"/>
          <w:color w:val="1A475F"/>
        </w:rPr>
        <w:t>52,825,361</w:t>
      </w:r>
      <w:r>
        <w:rPr>
          <w:rFonts w:ascii="Arial" w:cs="Arial" w:eastAsia="Arial" w:hAnsi="Arial"/>
          <w:sz w:val="15"/>
          <w:szCs w:val="15"/>
          <w:color w:val="1A475F"/>
        </w:rPr>
        <w:t xml:space="preserve"> shares of common stock outstanding and each share is entitled to one vote for each share. Common stock is the only class of securities eligible to vote at the Annual Meeting. There are no cumulative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114935</wp:posOffset>
            </wp:positionV>
            <wp:extent cx="5997575" cy="161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97575" cy="161925"/>
                    </a:xfrm>
                    <a:prstGeom prst="rect">
                      <a:avLst/>
                    </a:prstGeom>
                    <a:noFill/>
                  </pic:spPr>
                </pic:pic>
              </a:graphicData>
            </a:graphic>
          </wp:anchor>
        </w:drawing>
      </w:r>
    </w:p>
    <w:p>
      <w:pPr>
        <w:spacing w:after="0" w:line="202"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Quorum, Voting Requirements and Board Recommendations</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Quorum</w:t>
      </w:r>
    </w:p>
    <w:p>
      <w:pPr>
        <w:spacing w:after="0" w:line="94" w:lineRule="exact"/>
        <w:rPr>
          <w:sz w:val="20"/>
          <w:szCs w:val="20"/>
          <w:color w:val="auto"/>
        </w:rPr>
      </w:pPr>
    </w:p>
    <w:p>
      <w:pPr>
        <w:ind w:left="900" w:right="380" w:firstLine="756"/>
        <w:spacing w:after="0" w:line="282" w:lineRule="auto"/>
        <w:rPr>
          <w:sz w:val="20"/>
          <w:szCs w:val="20"/>
          <w:color w:val="auto"/>
        </w:rPr>
      </w:pPr>
      <w:r>
        <w:rPr>
          <w:rFonts w:ascii="Arial" w:cs="Arial" w:eastAsia="Arial" w:hAnsi="Arial"/>
          <w:sz w:val="15"/>
          <w:szCs w:val="15"/>
          <w:color w:val="1A475F"/>
        </w:rPr>
        <w:t>The presence, in person or by proxy, of the holders of a majority of the outstanding shares of capital stock of the Company entitled to vote at the Annual Meeting is necessary to constitute a quorum for all purposes.</w:t>
      </w:r>
    </w:p>
    <w:p>
      <w:pPr>
        <w:spacing w:after="0" w:line="127" w:lineRule="exact"/>
        <w:rPr>
          <w:sz w:val="20"/>
          <w:szCs w:val="20"/>
          <w:color w:val="auto"/>
        </w:rPr>
      </w:pPr>
    </w:p>
    <w:p>
      <w:pPr>
        <w:ind w:left="900" w:right="60" w:firstLine="756"/>
        <w:spacing w:after="0" w:line="248" w:lineRule="auto"/>
        <w:rPr>
          <w:sz w:val="20"/>
          <w:szCs w:val="20"/>
          <w:color w:val="auto"/>
        </w:rPr>
      </w:pPr>
      <w:r>
        <w:rPr>
          <w:rFonts w:ascii="Arial" w:cs="Arial" w:eastAsia="Arial" w:hAnsi="Arial"/>
          <w:sz w:val="15"/>
          <w:szCs w:val="15"/>
          <w:color w:val="1A475F"/>
        </w:rPr>
        <w:t>Abstentions and “broker non-votes” are counted as present and entitled to vote for purposes of determining a quorum. Brokers who have record ownership of shares that they hold in “street name” for their clients who are the beneficial owners of the shares normally have discretion to vote such shares on routine matters, such as the ratification of an independent registered public accounting firm, but do not have such discretion to vote on non-routine matters. Broker non-votes generally occur when the beneficial owner of shares held by a broker does not give the broker voting instructions on a non-routine matter. All proposals (other than Proposal 3) are non-routine matters and brokers are not permitted to vote your shares without instruction. Brokers are permitted to vote your shares without voting instructions on Proposal 3 (Ratification of Appointment of Independent Registered Public Accounting Firm).</w:t>
      </w:r>
    </w:p>
    <w:p>
      <w:pPr>
        <w:spacing w:after="0" w:line="93" w:lineRule="exact"/>
        <w:rPr>
          <w:sz w:val="20"/>
          <w:szCs w:val="20"/>
          <w:color w:val="auto"/>
        </w:rPr>
      </w:pPr>
    </w:p>
    <w:p>
      <w:pPr>
        <w:ind w:left="1200" w:hanging="299"/>
        <w:spacing w:after="0"/>
        <w:tabs>
          <w:tab w:leader="none" w:pos="1200" w:val="left"/>
        </w:tabs>
        <w:numPr>
          <w:ilvl w:val="0"/>
          <w:numId w:val="6"/>
        </w:numPr>
        <w:rPr>
          <w:rFonts w:ascii="Arial" w:cs="Arial" w:eastAsia="Arial" w:hAnsi="Arial"/>
          <w:sz w:val="15"/>
          <w:szCs w:val="15"/>
          <w:b w:val="1"/>
          <w:bCs w:val="1"/>
          <w:color w:val="1A475F"/>
        </w:rPr>
      </w:pPr>
      <w:r>
        <w:rPr>
          <w:rFonts w:ascii="Arial" w:cs="Arial" w:eastAsia="Arial" w:hAnsi="Arial"/>
          <w:sz w:val="15"/>
          <w:szCs w:val="15"/>
          <w:b w:val="1"/>
          <w:bCs w:val="1"/>
          <w:color w:val="1A475F"/>
        </w:rPr>
        <w:t>|    Bright Horizons </w:t>
      </w:r>
    </w:p>
    <w:p>
      <w:pPr>
        <w:sectPr>
          <w:pgSz w:w="11900" w:h="16838" w:orient="portrait"/>
          <w:cols w:equalWidth="0" w:num="1">
            <w:col w:w="10360"/>
          </w:cols>
          <w:pgMar w:left="320" w:top="433"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Required Vote to Approve Proposals and Board of Directors’ Recommendations</w:t>
      </w:r>
    </w:p>
    <w:p>
      <w:pPr>
        <w:spacing w:after="0" w:line="112" w:lineRule="exact"/>
        <w:rPr>
          <w:sz w:val="20"/>
          <w:szCs w:val="20"/>
          <w:color w:val="auto"/>
        </w:rPr>
      </w:pPr>
    </w:p>
    <w:tbl>
      <w:tblPr>
        <w:tblLayout w:type="fixed"/>
        <w:tblInd w:w="900" w:type="dxa"/>
        <w:tblCellMar>
          <w:top w:w="0" w:type="dxa"/>
          <w:left w:w="0" w:type="dxa"/>
          <w:bottom w:w="0" w:type="dxa"/>
          <w:right w:w="0" w:type="dxa"/>
        </w:tblCellMar>
      </w:tblPr>
      <w:tr>
        <w:trPr>
          <w:trHeight w:val="139"/>
        </w:trPr>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1A475F"/>
              </w:rPr>
              <w:t>Effect of</w:t>
            </w: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1A475F"/>
              </w:rPr>
              <w:t>Board</w:t>
            </w: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1A475F"/>
              </w:rPr>
              <w:t>Vote Required to</w:t>
            </w: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1A475F"/>
              </w:rPr>
              <w:t>Effect of</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1A475F"/>
                <w:w w:val="98"/>
              </w:rPr>
              <w:t>Broker</w:t>
            </w:r>
          </w:p>
        </w:tc>
        <w:tc>
          <w:tcPr>
            <w:tcW w:w="0" w:type="dxa"/>
            <w:vAlign w:val="bottom"/>
          </w:tcPr>
          <w:p>
            <w:pPr>
              <w:spacing w:after="0"/>
              <w:rPr>
                <w:sz w:val="1"/>
                <w:szCs w:val="1"/>
                <w:color w:val="auto"/>
              </w:rPr>
            </w:pPr>
          </w:p>
        </w:tc>
      </w:tr>
      <w:tr>
        <w:trPr>
          <w:trHeight w:val="167"/>
        </w:trPr>
        <w:tc>
          <w:tcPr>
            <w:tcW w:w="540" w:type="dxa"/>
            <w:vAlign w:val="bottom"/>
            <w:tcBorders>
              <w:bottom w:val="single" w:sz="8" w:color="1A475F"/>
            </w:tcBorders>
            <w:gridSpan w:val="2"/>
          </w:tcPr>
          <w:p>
            <w:pPr>
              <w:spacing w:after="0"/>
              <w:rPr>
                <w:sz w:val="20"/>
                <w:szCs w:val="20"/>
                <w:color w:val="auto"/>
              </w:rPr>
            </w:pPr>
            <w:r>
              <w:rPr>
                <w:rFonts w:ascii="Arial" w:cs="Arial" w:eastAsia="Arial" w:hAnsi="Arial"/>
                <w:sz w:val="12"/>
                <w:szCs w:val="12"/>
                <w:b w:val="1"/>
                <w:bCs w:val="1"/>
                <w:color w:val="1A475F"/>
              </w:rPr>
              <w:t>Proposal</w:t>
            </w:r>
          </w:p>
        </w:tc>
        <w:tc>
          <w:tcPr>
            <w:tcW w:w="28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1A475F"/>
              </w:rPr>
              <w:t>Recommendation</w:t>
            </w:r>
          </w:p>
        </w:tc>
        <w:tc>
          <w:tcPr>
            <w:tcW w:w="100" w:type="dxa"/>
            <w:vAlign w:val="bottom"/>
          </w:tcPr>
          <w:p>
            <w:pPr>
              <w:spacing w:after="0"/>
              <w:rPr>
                <w:sz w:val="14"/>
                <w:szCs w:val="14"/>
                <w:color w:val="auto"/>
              </w:rPr>
            </w:pPr>
          </w:p>
        </w:tc>
        <w:tc>
          <w:tcPr>
            <w:tcW w:w="1500" w:type="dxa"/>
            <w:vAlign w:val="bottom"/>
          </w:tcPr>
          <w:p>
            <w:pPr>
              <w:ind w:left="300"/>
              <w:spacing w:after="0"/>
              <w:rPr>
                <w:sz w:val="20"/>
                <w:szCs w:val="20"/>
                <w:color w:val="auto"/>
              </w:rPr>
            </w:pPr>
            <w:r>
              <w:rPr>
                <w:rFonts w:ascii="Arial" w:cs="Arial" w:eastAsia="Arial" w:hAnsi="Arial"/>
                <w:sz w:val="12"/>
                <w:szCs w:val="12"/>
                <w:b w:val="1"/>
                <w:bCs w:val="1"/>
                <w:color w:val="1A475F"/>
              </w:rPr>
              <w:t>Voting Options</w:t>
            </w: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1A475F"/>
              </w:rPr>
              <w:t>Approve Proposal</w:t>
            </w: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1A475F"/>
              </w:rPr>
              <w:t>Abstentions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1A475F"/>
              </w:rPr>
              <w:t>Non-Votes</w:t>
            </w:r>
          </w:p>
        </w:tc>
        <w:tc>
          <w:tcPr>
            <w:tcW w:w="0" w:type="dxa"/>
            <w:vAlign w:val="bottom"/>
          </w:tcPr>
          <w:p>
            <w:pPr>
              <w:spacing w:after="0"/>
              <w:rPr>
                <w:sz w:val="1"/>
                <w:szCs w:val="1"/>
                <w:color w:val="auto"/>
              </w:rPr>
            </w:pPr>
          </w:p>
        </w:tc>
      </w:tr>
      <w:tr>
        <w:trPr>
          <w:trHeight w:val="133"/>
        </w:trPr>
        <w:tc>
          <w:tcPr>
            <w:tcW w:w="120" w:type="dxa"/>
            <w:vAlign w:val="bottom"/>
          </w:tcPr>
          <w:p>
            <w:pPr>
              <w:spacing w:after="0" w:line="133" w:lineRule="exact"/>
              <w:rPr>
                <w:sz w:val="20"/>
                <w:szCs w:val="20"/>
                <w:color w:val="auto"/>
              </w:rPr>
            </w:pPr>
            <w:r>
              <w:rPr>
                <w:rFonts w:ascii="Arial" w:cs="Arial" w:eastAsia="Arial" w:hAnsi="Arial"/>
                <w:sz w:val="14"/>
                <w:szCs w:val="14"/>
                <w:b w:val="1"/>
                <w:bCs w:val="1"/>
                <w:color w:val="1A475F"/>
                <w:w w:val="85"/>
              </w:rPr>
              <w:t>1.</w:t>
            </w:r>
          </w:p>
        </w:tc>
        <w:tc>
          <w:tcPr>
            <w:tcW w:w="32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1A475F"/>
              </w:rPr>
              <w:t>Election of Six Directors for a One-Year Term</w:t>
            </w:r>
          </w:p>
        </w:tc>
        <w:tc>
          <w:tcPr>
            <w:tcW w:w="1220" w:type="dxa"/>
            <w:vAlign w:val="bottom"/>
            <w:tcBorders>
              <w:top w:val="single" w:sz="8" w:color="1A475F"/>
            </w:tcBorders>
          </w:tcPr>
          <w:p>
            <w:pPr>
              <w:jc w:val="center"/>
              <w:spacing w:after="0" w:line="133" w:lineRule="exact"/>
              <w:rPr>
                <w:sz w:val="20"/>
                <w:szCs w:val="20"/>
                <w:color w:val="auto"/>
              </w:rPr>
            </w:pPr>
            <w:r>
              <w:rPr>
                <w:rFonts w:ascii="MS PGothic" w:cs="MS PGothic" w:eastAsia="MS PGothic" w:hAnsi="MS PGothic"/>
                <w:sz w:val="14"/>
                <w:szCs w:val="14"/>
                <w:color w:val="1A475F"/>
                <w:w w:val="96"/>
              </w:rPr>
              <w:t>☑</w:t>
            </w:r>
            <w:r>
              <w:rPr>
                <w:rFonts w:ascii="Arial" w:cs="Arial" w:eastAsia="Arial" w:hAnsi="Arial"/>
                <w:sz w:val="14"/>
                <w:szCs w:val="14"/>
                <w:b w:val="1"/>
                <w:bCs w:val="1"/>
                <w:color w:val="1A475F"/>
                <w:w w:val="96"/>
              </w:rPr>
              <w:t xml:space="preserve"> FOR</w:t>
            </w:r>
          </w:p>
        </w:tc>
        <w:tc>
          <w:tcPr>
            <w:tcW w:w="100" w:type="dxa"/>
            <w:vAlign w:val="bottom"/>
          </w:tcPr>
          <w:p>
            <w:pPr>
              <w:spacing w:after="0"/>
              <w:rPr>
                <w:sz w:val="11"/>
                <w:szCs w:val="11"/>
                <w:color w:val="auto"/>
              </w:rPr>
            </w:pPr>
          </w:p>
        </w:tc>
        <w:tc>
          <w:tcPr>
            <w:tcW w:w="1500" w:type="dxa"/>
            <w:vAlign w:val="bottom"/>
            <w:tcBorders>
              <w:top w:val="single" w:sz="8" w:color="1A475F"/>
            </w:tcBorders>
          </w:tcPr>
          <w:p>
            <w:pPr>
              <w:spacing w:after="0" w:line="133" w:lineRule="exact"/>
              <w:rPr>
                <w:sz w:val="20"/>
                <w:szCs w:val="20"/>
                <w:color w:val="auto"/>
              </w:rPr>
            </w:pPr>
            <w:r>
              <w:rPr>
                <w:rFonts w:ascii="Arial" w:cs="Arial" w:eastAsia="Arial" w:hAnsi="Arial"/>
                <w:sz w:val="14"/>
                <w:szCs w:val="14"/>
                <w:color w:val="1A475F"/>
              </w:rPr>
              <w:t>For, Against or Abstain</w:t>
            </w:r>
          </w:p>
        </w:tc>
        <w:tc>
          <w:tcPr>
            <w:tcW w:w="100" w:type="dxa"/>
            <w:vAlign w:val="bottom"/>
          </w:tcPr>
          <w:p>
            <w:pPr>
              <w:spacing w:after="0"/>
              <w:rPr>
                <w:sz w:val="11"/>
                <w:szCs w:val="11"/>
                <w:color w:val="auto"/>
              </w:rPr>
            </w:pPr>
          </w:p>
        </w:tc>
        <w:tc>
          <w:tcPr>
            <w:tcW w:w="1320" w:type="dxa"/>
            <w:vAlign w:val="bottom"/>
            <w:tcBorders>
              <w:top w:val="single" w:sz="8" w:color="1A475F"/>
            </w:tcBorders>
          </w:tcPr>
          <w:p>
            <w:pPr>
              <w:spacing w:after="0" w:line="133" w:lineRule="exact"/>
              <w:rPr>
                <w:sz w:val="20"/>
                <w:szCs w:val="20"/>
                <w:color w:val="auto"/>
              </w:rPr>
            </w:pPr>
            <w:r>
              <w:rPr>
                <w:rFonts w:ascii="Arial" w:cs="Arial" w:eastAsia="Arial" w:hAnsi="Arial"/>
                <w:sz w:val="14"/>
                <w:szCs w:val="14"/>
                <w:color w:val="1A475F"/>
              </w:rPr>
              <w:t>Majority of the Votes</w:t>
            </w:r>
          </w:p>
        </w:tc>
        <w:tc>
          <w:tcPr>
            <w:tcW w:w="120" w:type="dxa"/>
            <w:vAlign w:val="bottom"/>
          </w:tcPr>
          <w:p>
            <w:pPr>
              <w:spacing w:after="0"/>
              <w:rPr>
                <w:sz w:val="11"/>
                <w:szCs w:val="11"/>
                <w:color w:val="auto"/>
              </w:rPr>
            </w:pPr>
          </w:p>
        </w:tc>
        <w:tc>
          <w:tcPr>
            <w:tcW w:w="840" w:type="dxa"/>
            <w:vAlign w:val="bottom"/>
            <w:tcBorders>
              <w:top w:val="single" w:sz="8" w:color="1A475F"/>
            </w:tcBorders>
          </w:tcPr>
          <w:p>
            <w:pPr>
              <w:jc w:val="center"/>
              <w:spacing w:after="0" w:line="133" w:lineRule="exact"/>
              <w:rPr>
                <w:sz w:val="20"/>
                <w:szCs w:val="20"/>
                <w:color w:val="auto"/>
              </w:rPr>
            </w:pPr>
            <w:r>
              <w:rPr>
                <w:rFonts w:ascii="Arial" w:cs="Arial" w:eastAsia="Arial" w:hAnsi="Arial"/>
                <w:sz w:val="14"/>
                <w:szCs w:val="14"/>
                <w:color w:val="1A475F"/>
              </w:rPr>
              <w:t>No Effect</w:t>
            </w:r>
          </w:p>
        </w:tc>
        <w:tc>
          <w:tcPr>
            <w:tcW w:w="100" w:type="dxa"/>
            <w:vAlign w:val="bottom"/>
          </w:tcPr>
          <w:p>
            <w:pPr>
              <w:spacing w:after="0"/>
              <w:rPr>
                <w:sz w:val="11"/>
                <w:szCs w:val="11"/>
                <w:color w:val="auto"/>
              </w:rPr>
            </w:pPr>
          </w:p>
        </w:tc>
        <w:tc>
          <w:tcPr>
            <w:tcW w:w="760" w:type="dxa"/>
            <w:vAlign w:val="bottom"/>
            <w:tcBorders>
              <w:top w:val="single" w:sz="8" w:color="1A475F"/>
            </w:tcBorders>
          </w:tcPr>
          <w:p>
            <w:pPr>
              <w:jc w:val="center"/>
              <w:spacing w:after="0" w:line="133" w:lineRule="exact"/>
              <w:rPr>
                <w:sz w:val="20"/>
                <w:szCs w:val="20"/>
                <w:color w:val="auto"/>
              </w:rPr>
            </w:pPr>
            <w:r>
              <w:rPr>
                <w:rFonts w:ascii="Arial" w:cs="Arial" w:eastAsia="Arial" w:hAnsi="Arial"/>
                <w:sz w:val="14"/>
                <w:szCs w:val="14"/>
                <w:color w:val="1A475F"/>
              </w:rPr>
              <w:t>No Effect</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1A475F"/>
              </w:rPr>
              <w:t>on each Nominee</w:t>
            </w:r>
          </w:p>
        </w:tc>
        <w:tc>
          <w:tcPr>
            <w:tcW w:w="1540" w:type="dxa"/>
            <w:vAlign w:val="bottom"/>
            <w:gridSpan w:val="3"/>
          </w:tcPr>
          <w:p>
            <w:pPr>
              <w:ind w:left="100"/>
              <w:spacing w:after="0" w:line="188" w:lineRule="exact"/>
              <w:rPr>
                <w:sz w:val="20"/>
                <w:szCs w:val="20"/>
                <w:color w:val="auto"/>
              </w:rPr>
            </w:pPr>
            <w:r>
              <w:rPr>
                <w:rFonts w:ascii="Arial" w:cs="Arial" w:eastAsia="Arial" w:hAnsi="Arial"/>
                <w:sz w:val="14"/>
                <w:szCs w:val="14"/>
                <w:color w:val="1A475F"/>
              </w:rPr>
              <w:t>Cast</w:t>
            </w:r>
            <w:r>
              <w:rPr>
                <w:rFonts w:ascii="Arial" w:cs="Arial" w:eastAsia="Arial" w:hAnsi="Arial"/>
                <w:sz w:val="20"/>
                <w:szCs w:val="20"/>
                <w:color w:val="1A475F"/>
                <w:vertAlign w:val="superscript"/>
              </w:rPr>
              <w:t>(1)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20"/>
                <w:szCs w:val="20"/>
                <w:color w:val="auto"/>
              </w:rPr>
            </w:pPr>
            <w:r>
              <w:rPr>
                <w:rFonts w:ascii="Arial" w:cs="Arial" w:eastAsia="Arial" w:hAnsi="Arial"/>
                <w:sz w:val="14"/>
                <w:szCs w:val="14"/>
                <w:b w:val="1"/>
                <w:bCs w:val="1"/>
                <w:color w:val="1A475F"/>
                <w:w w:val="85"/>
              </w:rPr>
              <w:t>2.</w:t>
            </w:r>
          </w:p>
        </w:tc>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1A475F"/>
              </w:rPr>
              <w:t>Advisory Vote on the 2025 Compensation of</w:t>
            </w:r>
          </w:p>
        </w:tc>
        <w:tc>
          <w:tcPr>
            <w:tcW w:w="1220" w:type="dxa"/>
            <w:vAlign w:val="bottom"/>
          </w:tcPr>
          <w:p>
            <w:pPr>
              <w:jc w:val="center"/>
              <w:spacing w:after="0" w:line="161" w:lineRule="exact"/>
              <w:rPr>
                <w:sz w:val="20"/>
                <w:szCs w:val="20"/>
                <w:color w:val="auto"/>
              </w:rPr>
            </w:pPr>
            <w:r>
              <w:rPr>
                <w:rFonts w:ascii="MS PGothic" w:cs="MS PGothic" w:eastAsia="MS PGothic" w:hAnsi="MS PGothic"/>
                <w:sz w:val="14"/>
                <w:szCs w:val="14"/>
                <w:color w:val="1A475F"/>
                <w:w w:val="96"/>
              </w:rPr>
              <w:t>☑</w:t>
            </w:r>
            <w:r>
              <w:rPr>
                <w:rFonts w:ascii="Arial" w:cs="Arial" w:eastAsia="Arial" w:hAnsi="Arial"/>
                <w:sz w:val="14"/>
                <w:szCs w:val="14"/>
                <w:b w:val="1"/>
                <w:bCs w:val="1"/>
                <w:color w:val="1A475F"/>
                <w:w w:val="96"/>
              </w:rPr>
              <w:t xml:space="preserve"> FOR</w:t>
            </w:r>
          </w:p>
        </w:tc>
        <w:tc>
          <w:tcPr>
            <w:tcW w:w="1600" w:type="dxa"/>
            <w:vAlign w:val="bottom"/>
            <w:gridSpan w:val="2"/>
          </w:tcPr>
          <w:p>
            <w:pPr>
              <w:ind w:left="100"/>
              <w:spacing w:after="0"/>
              <w:rPr>
                <w:sz w:val="20"/>
                <w:szCs w:val="20"/>
                <w:color w:val="auto"/>
              </w:rPr>
            </w:pPr>
            <w:r>
              <w:rPr>
                <w:rFonts w:ascii="Arial" w:cs="Arial" w:eastAsia="Arial" w:hAnsi="Arial"/>
                <w:sz w:val="14"/>
                <w:szCs w:val="14"/>
                <w:color w:val="1A475F"/>
              </w:rPr>
              <w:t>For, Against or Abstain</w:t>
            </w:r>
          </w:p>
        </w:tc>
        <w:tc>
          <w:tcPr>
            <w:tcW w:w="1540" w:type="dxa"/>
            <w:vAlign w:val="bottom"/>
            <w:gridSpan w:val="3"/>
          </w:tcPr>
          <w:p>
            <w:pPr>
              <w:ind w:left="100"/>
              <w:spacing w:after="0"/>
              <w:rPr>
                <w:sz w:val="20"/>
                <w:szCs w:val="20"/>
                <w:color w:val="auto"/>
              </w:rPr>
            </w:pPr>
            <w:r>
              <w:rPr>
                <w:rFonts w:ascii="Arial" w:cs="Arial" w:eastAsia="Arial" w:hAnsi="Arial"/>
                <w:sz w:val="14"/>
                <w:szCs w:val="14"/>
                <w:color w:val="1A475F"/>
              </w:rPr>
              <w:t>Majority of the Votes</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1A475F"/>
              </w:rPr>
              <w:t>No Effect</w:t>
            </w:r>
          </w:p>
        </w:tc>
        <w:tc>
          <w:tcPr>
            <w:tcW w:w="760" w:type="dxa"/>
            <w:vAlign w:val="bottom"/>
          </w:tcPr>
          <w:p>
            <w:pPr>
              <w:jc w:val="center"/>
              <w:spacing w:after="0"/>
              <w:rPr>
                <w:sz w:val="20"/>
                <w:szCs w:val="20"/>
                <w:color w:val="auto"/>
              </w:rPr>
            </w:pPr>
            <w:r>
              <w:rPr>
                <w:rFonts w:ascii="Arial" w:cs="Arial" w:eastAsia="Arial" w:hAnsi="Arial"/>
                <w:sz w:val="14"/>
                <w:szCs w:val="14"/>
                <w:color w:val="1A475F"/>
              </w:rPr>
              <w:t>No Effect</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1A475F"/>
              </w:rPr>
              <w:t>the Company’s Named Executive Officers</w:t>
            </w:r>
          </w:p>
        </w:tc>
        <w:tc>
          <w:tcPr>
            <w:tcW w:w="122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1A475F"/>
                <w:w w:val="96"/>
              </w:rPr>
              <w:t>☑</w:t>
            </w:r>
            <w:r>
              <w:rPr>
                <w:rFonts w:ascii="Arial" w:cs="Arial" w:eastAsia="Arial" w:hAnsi="Arial"/>
                <w:sz w:val="14"/>
                <w:szCs w:val="14"/>
                <w:b w:val="1"/>
                <w:bCs w:val="1"/>
                <w:color w:val="1A475F"/>
                <w:w w:val="96"/>
              </w:rPr>
              <w:t xml:space="preserve"> FOR</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40" w:type="dxa"/>
            <w:vAlign w:val="bottom"/>
            <w:gridSpan w:val="3"/>
          </w:tcPr>
          <w:p>
            <w:pPr>
              <w:ind w:left="100"/>
              <w:spacing w:after="0" w:line="220" w:lineRule="exact"/>
              <w:rPr>
                <w:sz w:val="20"/>
                <w:szCs w:val="20"/>
                <w:color w:val="auto"/>
              </w:rPr>
            </w:pPr>
            <w:r>
              <w:rPr>
                <w:rFonts w:ascii="Arial" w:cs="Arial" w:eastAsia="Arial" w:hAnsi="Arial"/>
                <w:sz w:val="14"/>
                <w:szCs w:val="14"/>
                <w:color w:val="1A475F"/>
              </w:rPr>
              <w:t>Cast</w:t>
            </w:r>
            <w:r>
              <w:rPr>
                <w:rFonts w:ascii="Arial" w:cs="Arial" w:eastAsia="Arial" w:hAnsi="Arial"/>
                <w:sz w:val="20"/>
                <w:szCs w:val="20"/>
                <w:color w:val="1A475F"/>
                <w:vertAlign w:val="superscript"/>
              </w:rPr>
              <w:t>(2)</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20"/>
                <w:szCs w:val="20"/>
                <w:color w:val="auto"/>
              </w:rPr>
            </w:pPr>
            <w:r>
              <w:rPr>
                <w:rFonts w:ascii="Arial" w:cs="Arial" w:eastAsia="Arial" w:hAnsi="Arial"/>
                <w:sz w:val="14"/>
                <w:szCs w:val="14"/>
                <w:b w:val="1"/>
                <w:bCs w:val="1"/>
                <w:color w:val="1A475F"/>
                <w:w w:val="85"/>
              </w:rPr>
              <w:t>3.</w:t>
            </w:r>
          </w:p>
        </w:tc>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1A475F"/>
              </w:rPr>
              <w:t>Ratification of Appointment of Independent</w:t>
            </w:r>
          </w:p>
        </w:tc>
        <w:tc>
          <w:tcPr>
            <w:tcW w:w="1220" w:type="dxa"/>
            <w:vAlign w:val="bottom"/>
            <w:vMerge w:val="continue"/>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1A475F"/>
              </w:rPr>
              <w:t>For, Against or Abstain</w:t>
            </w:r>
          </w:p>
        </w:tc>
        <w:tc>
          <w:tcPr>
            <w:tcW w:w="1540" w:type="dxa"/>
            <w:vAlign w:val="bottom"/>
            <w:gridSpan w:val="3"/>
          </w:tcPr>
          <w:p>
            <w:pPr>
              <w:ind w:left="100"/>
              <w:spacing w:after="0"/>
              <w:rPr>
                <w:sz w:val="20"/>
                <w:szCs w:val="20"/>
                <w:color w:val="auto"/>
              </w:rPr>
            </w:pPr>
            <w:r>
              <w:rPr>
                <w:rFonts w:ascii="Arial" w:cs="Arial" w:eastAsia="Arial" w:hAnsi="Arial"/>
                <w:sz w:val="14"/>
                <w:szCs w:val="14"/>
                <w:color w:val="1A475F"/>
              </w:rPr>
              <w:t>Majority of the Votes</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1A475F"/>
              </w:rPr>
              <w:t>No Effect</w:t>
            </w:r>
          </w:p>
        </w:tc>
        <w:tc>
          <w:tcPr>
            <w:tcW w:w="760" w:type="dxa"/>
            <w:vAlign w:val="bottom"/>
          </w:tcPr>
          <w:p>
            <w:pPr>
              <w:jc w:val="center"/>
              <w:spacing w:after="0" w:line="162" w:lineRule="exact"/>
              <w:rPr>
                <w:sz w:val="20"/>
                <w:szCs w:val="20"/>
                <w:color w:val="auto"/>
              </w:rPr>
            </w:pPr>
            <w:r>
              <w:rPr>
                <w:rFonts w:ascii="Arial" w:cs="Arial" w:eastAsia="Arial" w:hAnsi="Arial"/>
                <w:sz w:val="13"/>
                <w:szCs w:val="13"/>
                <w:color w:val="1A475F"/>
                <w:w w:val="98"/>
              </w:rPr>
              <w:t>N/A</w:t>
            </w:r>
            <w:r>
              <w:rPr>
                <w:rFonts w:ascii="Arial" w:cs="Arial" w:eastAsia="Arial" w:hAnsi="Arial"/>
                <w:sz w:val="18"/>
                <w:szCs w:val="18"/>
                <w:color w:val="1A475F"/>
                <w:w w:val="98"/>
                <w:vertAlign w:val="superscript"/>
              </w:rPr>
              <w:t>(3)</w:t>
            </w:r>
          </w:p>
        </w:tc>
        <w:tc>
          <w:tcPr>
            <w:tcW w:w="0" w:type="dxa"/>
            <w:vAlign w:val="bottom"/>
          </w:tcPr>
          <w:p>
            <w:pPr>
              <w:spacing w:after="0"/>
              <w:rPr>
                <w:sz w:val="1"/>
                <w:szCs w:val="1"/>
                <w:color w:val="auto"/>
              </w:rPr>
            </w:pPr>
          </w:p>
        </w:tc>
      </w:tr>
      <w:tr>
        <w:trPr>
          <w:trHeight w:val="278"/>
        </w:trPr>
        <w:tc>
          <w:tcPr>
            <w:tcW w:w="120" w:type="dxa"/>
            <w:vAlign w:val="bottom"/>
          </w:tcPr>
          <w:p>
            <w:pPr>
              <w:spacing w:after="0"/>
              <w:rPr>
                <w:sz w:val="24"/>
                <w:szCs w:val="24"/>
                <w:color w:val="auto"/>
              </w:rPr>
            </w:pPr>
          </w:p>
        </w:tc>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1A475F"/>
              </w:rPr>
              <w:t>Auditors for Fiscal 2026</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gridSpan w:val="3"/>
          </w:tcPr>
          <w:p>
            <w:pPr>
              <w:ind w:left="100"/>
              <w:spacing w:after="0"/>
              <w:rPr>
                <w:sz w:val="20"/>
                <w:szCs w:val="20"/>
                <w:color w:val="auto"/>
              </w:rPr>
            </w:pPr>
            <w:r>
              <w:rPr>
                <w:rFonts w:ascii="Arial" w:cs="Arial" w:eastAsia="Arial" w:hAnsi="Arial"/>
                <w:sz w:val="14"/>
                <w:szCs w:val="14"/>
                <w:color w:val="1A475F"/>
              </w:rPr>
              <w:t>Cast</w:t>
            </w:r>
            <w:r>
              <w:rPr>
                <w:rFonts w:ascii="Arial" w:cs="Arial" w:eastAsia="Arial" w:hAnsi="Arial"/>
                <w:sz w:val="20"/>
                <w:szCs w:val="20"/>
                <w:color w:val="1A475F"/>
                <w:vertAlign w:val="superscript"/>
              </w:rPr>
              <w:t>(2)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7620</wp:posOffset>
            </wp:positionV>
            <wp:extent cx="65405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30" w:lineRule="exact"/>
        <w:rPr>
          <w:sz w:val="20"/>
          <w:szCs w:val="20"/>
          <w:color w:val="auto"/>
        </w:rPr>
      </w:pPr>
    </w:p>
    <w:p>
      <w:pPr>
        <w:ind w:left="1280" w:right="200" w:hanging="379"/>
        <w:spacing w:after="0" w:line="252" w:lineRule="auto"/>
        <w:tabs>
          <w:tab w:leader="none" w:pos="1280" w:val="left"/>
        </w:tabs>
        <w:numPr>
          <w:ilvl w:val="0"/>
          <w:numId w:val="7"/>
        </w:numPr>
        <w:rPr>
          <w:rFonts w:ascii="Arial" w:cs="Arial" w:eastAsia="Arial" w:hAnsi="Arial"/>
          <w:sz w:val="12"/>
          <w:szCs w:val="12"/>
          <w:color w:val="1A475F"/>
        </w:rPr>
      </w:pPr>
      <w:r>
        <w:rPr>
          <w:rFonts w:ascii="Arial" w:cs="Arial" w:eastAsia="Arial" w:hAnsi="Arial"/>
          <w:sz w:val="12"/>
          <w:szCs w:val="12"/>
          <w:color w:val="1A475F"/>
        </w:rPr>
        <w:t>In an uncontested election of directors, our Amended and Restated Bylaws (the “Bylaws”) require that each director nominee be elected by a majority of votes cast. This means a nominee will be elected to the Board if the votes cast “for” such nominee’s election exceed the votes cast “against” such nominee’s election.</w:t>
      </w:r>
    </w:p>
    <w:p>
      <w:pPr>
        <w:ind w:left="1280" w:hanging="379"/>
        <w:spacing w:after="0"/>
        <w:tabs>
          <w:tab w:leader="none" w:pos="1280" w:val="left"/>
        </w:tabs>
        <w:numPr>
          <w:ilvl w:val="0"/>
          <w:numId w:val="7"/>
        </w:numPr>
        <w:rPr>
          <w:rFonts w:ascii="Arial" w:cs="Arial" w:eastAsia="Arial" w:hAnsi="Arial"/>
          <w:sz w:val="12"/>
          <w:szCs w:val="12"/>
          <w:color w:val="1A475F"/>
        </w:rPr>
      </w:pPr>
      <w:r>
        <w:rPr>
          <w:rFonts w:ascii="Arial" w:cs="Arial" w:eastAsia="Arial" w:hAnsi="Arial"/>
          <w:sz w:val="12"/>
          <w:szCs w:val="12"/>
          <w:color w:val="1A475F"/>
        </w:rPr>
        <w:t>Under our Bylaws, Proposals 2 and 3 will be determined by a majority of the votes cast.</w:t>
      </w:r>
    </w:p>
    <w:p>
      <w:pPr>
        <w:ind w:left="1280" w:right="380" w:hanging="379"/>
        <w:spacing w:after="0" w:line="261" w:lineRule="auto"/>
        <w:tabs>
          <w:tab w:leader="none" w:pos="1280" w:val="left"/>
        </w:tabs>
        <w:numPr>
          <w:ilvl w:val="0"/>
          <w:numId w:val="7"/>
        </w:numPr>
        <w:rPr>
          <w:rFonts w:ascii="Arial" w:cs="Arial" w:eastAsia="Arial" w:hAnsi="Arial"/>
          <w:sz w:val="12"/>
          <w:szCs w:val="12"/>
          <w:color w:val="1A475F"/>
        </w:rPr>
      </w:pPr>
      <w:r>
        <w:rPr>
          <w:rFonts w:ascii="Arial" w:cs="Arial" w:eastAsia="Arial" w:hAnsi="Arial"/>
          <w:sz w:val="12"/>
          <w:szCs w:val="12"/>
          <w:color w:val="1A475F"/>
        </w:rPr>
        <w:t>The New York Stock Exchange (the “NYSE”) considers the ratification of the independent auditors to be a routine matter. Accordingly, a broker holding shares in “street name” may vote on this proposal in the absence of instructions from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115570</wp:posOffset>
            </wp:positionV>
            <wp:extent cx="5997575" cy="161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97575" cy="161925"/>
                    </a:xfrm>
                    <a:prstGeom prst="rect">
                      <a:avLst/>
                    </a:prstGeom>
                    <a:noFill/>
                  </pic:spPr>
                </pic:pic>
              </a:graphicData>
            </a:graphic>
          </wp:anchor>
        </w:drawing>
      </w:r>
    </w:p>
    <w:p>
      <w:pPr>
        <w:spacing w:after="0" w:line="203"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Electronic Delivery of Proxy Materials</w:t>
      </w:r>
    </w:p>
    <w:p>
      <w:pPr>
        <w:spacing w:after="0" w:line="119" w:lineRule="exact"/>
        <w:rPr>
          <w:sz w:val="20"/>
          <w:szCs w:val="20"/>
          <w:color w:val="auto"/>
        </w:rPr>
      </w:pPr>
    </w:p>
    <w:p>
      <w:pPr>
        <w:ind w:left="900" w:right="140" w:firstLine="756"/>
        <w:spacing w:after="0" w:line="251" w:lineRule="auto"/>
        <w:rPr>
          <w:sz w:val="20"/>
          <w:szCs w:val="20"/>
          <w:color w:val="auto"/>
        </w:rPr>
      </w:pPr>
      <w:r>
        <w:rPr>
          <w:rFonts w:ascii="Arial" w:cs="Arial" w:eastAsia="Arial" w:hAnsi="Arial"/>
          <w:sz w:val="15"/>
          <w:szCs w:val="15"/>
          <w:color w:val="1A475F"/>
        </w:rPr>
        <w:t>The Company uses the SEC rule permitting companies to furnish proxy materials to their shareholders via the Internet. In accordance with this rule, on or about April 20, 2026, we sent to shareholders of record at the close of business on the Record Date a Notice, which includes instructions on how to access this Proxy Statement and our 2025 Annual Report, and how to vote online for the Annual Meeting. If you received a Notice and would like to receive a printed copy of our proxy materials, please follow the instructions for requesting such materials included in the Notice.</w:t>
      </w:r>
    </w:p>
    <w:p>
      <w:pPr>
        <w:spacing w:after="0" w:line="59" w:lineRule="exact"/>
        <w:rPr>
          <w:sz w:val="20"/>
          <w:szCs w:val="20"/>
          <w:color w:val="auto"/>
        </w:rPr>
      </w:pPr>
    </w:p>
    <w:p>
      <w:pPr>
        <w:ind w:left="900" w:right="200" w:firstLine="756"/>
        <w:spacing w:after="0" w:line="255" w:lineRule="auto"/>
        <w:rPr>
          <w:sz w:val="20"/>
          <w:szCs w:val="20"/>
          <w:color w:val="auto"/>
        </w:rPr>
      </w:pPr>
      <w:r>
        <w:rPr>
          <w:rFonts w:ascii="Arial" w:cs="Arial" w:eastAsia="Arial" w:hAnsi="Arial"/>
          <w:sz w:val="15"/>
          <w:szCs w:val="15"/>
          <w:color w:val="1A475F"/>
        </w:rPr>
        <w:t xml:space="preserve">This Proxy Statement and our 2025 Annual Report are available on the Investor Relations section of our website at </w:t>
      </w:r>
      <w:r>
        <w:rPr>
          <w:rFonts w:ascii="Arial" w:cs="Arial" w:eastAsia="Arial" w:hAnsi="Arial"/>
          <w:sz w:val="15"/>
          <w:szCs w:val="15"/>
          <w:i w:val="1"/>
          <w:iCs w:val="1"/>
          <w:color w:val="1A475F"/>
        </w:rPr>
        <w:t xml:space="preserve">investors.brighthorizons.com </w:t>
      </w:r>
      <w:r>
        <w:rPr>
          <w:rFonts w:ascii="Arial" w:cs="Arial" w:eastAsia="Arial" w:hAnsi="Arial"/>
          <w:sz w:val="15"/>
          <w:szCs w:val="15"/>
          <w:color w:val="1A475F"/>
        </w:rPr>
        <w:t>under “Annual Meeting Materials.” If you would like to help reduce the environmental impact of our annual</w:t>
      </w:r>
      <w:r>
        <w:rPr>
          <w:rFonts w:ascii="Arial" w:cs="Arial" w:eastAsia="Arial" w:hAnsi="Arial"/>
          <w:sz w:val="15"/>
          <w:szCs w:val="15"/>
          <w:i w:val="1"/>
          <w:iCs w:val="1"/>
          <w:color w:val="1A475F"/>
        </w:rPr>
        <w:t xml:space="preserve"> </w:t>
      </w:r>
      <w:r>
        <w:rPr>
          <w:rFonts w:ascii="Arial" w:cs="Arial" w:eastAsia="Arial" w:hAnsi="Arial"/>
          <w:sz w:val="15"/>
          <w:szCs w:val="15"/>
          <w:color w:val="1A475F"/>
        </w:rPr>
        <w:t>meetings and our costs of printing and mailing future materials, you can agree to access these documents in the future over the Internet rather than receiving printed copies in the mail.</w:t>
      </w:r>
    </w:p>
    <w:p>
      <w:pPr>
        <w:spacing w:after="0" w:line="54" w:lineRule="exact"/>
        <w:rPr>
          <w:sz w:val="20"/>
          <w:szCs w:val="20"/>
          <w:color w:val="auto"/>
        </w:rPr>
      </w:pPr>
    </w:p>
    <w:p>
      <w:pPr>
        <w:ind w:left="900" w:right="180" w:firstLine="756"/>
        <w:spacing w:after="0" w:line="255" w:lineRule="auto"/>
        <w:rPr>
          <w:sz w:val="20"/>
          <w:szCs w:val="20"/>
          <w:color w:val="auto"/>
        </w:rPr>
      </w:pPr>
      <w:r>
        <w:rPr>
          <w:rFonts w:ascii="Arial" w:cs="Arial" w:eastAsia="Arial" w:hAnsi="Arial"/>
          <w:sz w:val="15"/>
          <w:szCs w:val="15"/>
          <w:color w:val="1A475F"/>
        </w:rPr>
        <w:t xml:space="preserve">If you are a shareholder of record, to consent to electronic delivery and receive all future proxy statements, proxy cards and annual reports electronically via e-mail or the Internet visit </w:t>
      </w:r>
      <w:r>
        <w:rPr>
          <w:rFonts w:ascii="Arial" w:cs="Arial" w:eastAsia="Arial" w:hAnsi="Arial"/>
          <w:sz w:val="15"/>
          <w:szCs w:val="15"/>
          <w:i w:val="1"/>
          <w:iCs w:val="1"/>
          <w:color w:val="1A475F"/>
        </w:rPr>
        <w:t>www.proxyvote.com</w:t>
      </w:r>
      <w:r>
        <w:rPr>
          <w:rFonts w:ascii="Arial" w:cs="Arial" w:eastAsia="Arial" w:hAnsi="Arial"/>
          <w:sz w:val="15"/>
          <w:szCs w:val="15"/>
          <w:color w:val="1A475F"/>
        </w:rPr>
        <w:t xml:space="preserve"> and follow the instructions. When prompted, indicate that you agree to receive and access proxy materials electronically in future years. Once you enroll, you will receive all future mailings via electronic delivery until you elect to cancel your enrollment by following the instructions provided on the website.</w:t>
      </w:r>
    </w:p>
    <w:p>
      <w:pPr>
        <w:spacing w:after="0" w:line="54" w:lineRule="exact"/>
        <w:rPr>
          <w:sz w:val="20"/>
          <w:szCs w:val="20"/>
          <w:color w:val="auto"/>
        </w:rPr>
      </w:pPr>
    </w:p>
    <w:p>
      <w:pPr>
        <w:ind w:left="900" w:right="20" w:firstLine="756"/>
        <w:spacing w:after="0" w:line="261" w:lineRule="auto"/>
        <w:rPr>
          <w:sz w:val="20"/>
          <w:szCs w:val="20"/>
          <w:color w:val="auto"/>
        </w:rPr>
      </w:pPr>
      <w:r>
        <w:rPr>
          <w:rFonts w:ascii="Arial" w:cs="Arial" w:eastAsia="Arial" w:hAnsi="Arial"/>
          <w:sz w:val="15"/>
          <w:szCs w:val="15"/>
          <w:color w:val="1A475F"/>
        </w:rPr>
        <w:t>If you hold our common stock through a broker, please refer to the information provided by your broker regarding the availability of electronic delivery. If you hold our common stock through a broker and you have elected electronic access, you will receive information from your broker containing the Internet address for use in accessing this Proxy Statement and the 2025 Annual Report.</w:t>
      </w:r>
    </w:p>
    <w:p>
      <w:pPr>
        <w:spacing w:after="0" w:line="51"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Once you sign up, you will continue to receive proxy materials electronically until you revoke this preference.</w:t>
      </w:r>
    </w:p>
    <w:p>
      <w:pPr>
        <w:spacing w:after="0" w:line="126" w:lineRule="exact"/>
        <w:rPr>
          <w:sz w:val="20"/>
          <w:szCs w:val="20"/>
          <w:color w:val="auto"/>
        </w:rPr>
      </w:pPr>
    </w:p>
    <w:p>
      <w:pPr>
        <w:jc w:val="right"/>
        <w:ind w:right="20"/>
        <w:spacing w:after="0"/>
        <w:tabs>
          <w:tab w:leader="none" w:pos="340" w:val="left"/>
          <w:tab w:leader="none" w:pos="8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3</w:t>
      </w:r>
    </w:p>
    <w:p>
      <w:pPr>
        <w:sectPr>
          <w:pgSz w:w="11900" w:h="16838" w:orient="portrait"/>
          <w:cols w:equalWidth="0" w:num="1">
            <w:col w:w="10360"/>
          </w:cols>
          <w:pgMar w:left="320" w:top="433" w:right="1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jc w:val="center"/>
        <w:ind w:right="-899"/>
        <w:spacing w:after="0"/>
        <w:rPr>
          <w:sz w:val="20"/>
          <w:szCs w:val="20"/>
          <w:color w:val="auto"/>
        </w:rPr>
      </w:pPr>
      <w:r>
        <w:rPr>
          <w:rFonts w:ascii="Arial" w:cs="Arial" w:eastAsia="Arial" w:hAnsi="Arial"/>
          <w:sz w:val="15"/>
          <w:szCs w:val="15"/>
          <w:b w:val="1"/>
          <w:bCs w:val="1"/>
          <w:color w:val="1A475F"/>
        </w:rPr>
        <w:t>PROPOSAL 1</w:t>
      </w:r>
    </w:p>
    <w:p>
      <w:pPr>
        <w:spacing w:after="0" w:line="186"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1A475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97575" cy="146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00" w:right="40" w:firstLine="756"/>
        <w:spacing w:after="0" w:line="282" w:lineRule="auto"/>
        <w:rPr>
          <w:sz w:val="20"/>
          <w:szCs w:val="20"/>
          <w:color w:val="auto"/>
        </w:rPr>
      </w:pPr>
      <w:r>
        <w:rPr>
          <w:rFonts w:ascii="Arial" w:cs="Arial" w:eastAsia="Arial" w:hAnsi="Arial"/>
          <w:sz w:val="15"/>
          <w:szCs w:val="15"/>
          <w:color w:val="1A475F"/>
        </w:rPr>
        <w:t>Bright Horizons has a Board currently consisting of (1) six directors with terms expiring in 2026 (the “2026 Director Nominees”), and (2) three directors with terms expiring in 2027 (the “2027 Class”).</w:t>
      </w:r>
    </w:p>
    <w:p>
      <w:pPr>
        <w:spacing w:after="0" w:line="35" w:lineRule="exact"/>
        <w:rPr>
          <w:sz w:val="20"/>
          <w:szCs w:val="20"/>
          <w:color w:val="auto"/>
        </w:rPr>
      </w:pPr>
    </w:p>
    <w:p>
      <w:pPr>
        <w:ind w:left="900" w:right="60" w:firstLine="756"/>
        <w:spacing w:after="0" w:line="255" w:lineRule="auto"/>
        <w:rPr>
          <w:sz w:val="20"/>
          <w:szCs w:val="20"/>
          <w:color w:val="auto"/>
        </w:rPr>
      </w:pPr>
      <w:r>
        <w:rPr>
          <w:rFonts w:ascii="Arial" w:cs="Arial" w:eastAsia="Arial" w:hAnsi="Arial"/>
          <w:sz w:val="15"/>
          <w:szCs w:val="15"/>
          <w:color w:val="1A475F"/>
        </w:rPr>
        <w:t>At the 2024 Annual Meeting, shareholders approved an amendment to the Company’s Certificate of Incorporation to declassify our Board. Starting with the 2025 Annual Meeting of Shareholders (“2025 Annual Meeting”), each class of nominees will be elected for one-year terms until the Board is fully declassified in 2027. Beginning with the 2027 Annual Meeting of Shareholders (“2027 Annual Meeting”), all members of the Board will be required to stand for election for a one-year term.</w:t>
      </w:r>
    </w:p>
    <w:p>
      <w:pPr>
        <w:spacing w:after="0" w:line="54"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The Board currently has the following nine members:</w:t>
      </w:r>
    </w:p>
    <w:p>
      <w:pPr>
        <w:spacing w:after="0" w:line="224" w:lineRule="exact"/>
        <w:rPr>
          <w:sz w:val="20"/>
          <w:szCs w:val="20"/>
          <w:color w:val="auto"/>
        </w:rPr>
      </w:pPr>
    </w:p>
    <w:tbl>
      <w:tblPr>
        <w:tblLayout w:type="fixed"/>
        <w:tblInd w:w="1660" w:type="dxa"/>
        <w:tblCellMar>
          <w:top w:w="0" w:type="dxa"/>
          <w:left w:w="0" w:type="dxa"/>
          <w:bottom w:w="0" w:type="dxa"/>
          <w:right w:w="0" w:type="dxa"/>
        </w:tblCellMar>
      </w:tblPr>
      <w:tr>
        <w:trPr>
          <w:trHeight w:val="258"/>
        </w:trPr>
        <w:tc>
          <w:tcPr>
            <w:tcW w:w="280" w:type="dxa"/>
            <w:vAlign w:val="bottom"/>
            <w:tcBorders>
              <w:bottom w:val="single" w:sz="8" w:color="F0BD1B"/>
            </w:tcBorders>
            <w:shd w:val="clear" w:color="auto" w:fill="F0BD1B"/>
          </w:tcPr>
          <w:p>
            <w:pPr>
              <w:spacing w:after="0"/>
              <w:rPr>
                <w:sz w:val="22"/>
                <w:szCs w:val="22"/>
                <w:color w:val="auto"/>
              </w:rPr>
            </w:pPr>
          </w:p>
        </w:tc>
        <w:tc>
          <w:tcPr>
            <w:tcW w:w="1520" w:type="dxa"/>
            <w:vAlign w:val="bottom"/>
            <w:tcBorders>
              <w:bottom w:val="single" w:sz="8" w:color="F0BD1B"/>
            </w:tcBorders>
            <w:shd w:val="clear" w:color="auto" w:fill="F0BD1B"/>
          </w:tcPr>
          <w:p>
            <w:pPr>
              <w:spacing w:after="0"/>
              <w:rPr>
                <w:sz w:val="22"/>
                <w:szCs w:val="22"/>
                <w:color w:val="auto"/>
              </w:rPr>
            </w:pPr>
          </w:p>
        </w:tc>
        <w:tc>
          <w:tcPr>
            <w:tcW w:w="3500" w:type="dxa"/>
            <w:vAlign w:val="bottom"/>
            <w:tcBorders>
              <w:bottom w:val="single" w:sz="8" w:color="F0BD1B"/>
            </w:tcBorders>
            <w:gridSpan w:val="2"/>
            <w:shd w:val="clear" w:color="auto" w:fill="F0BD1B"/>
          </w:tcPr>
          <w:p>
            <w:pPr>
              <w:ind w:left="80"/>
              <w:spacing w:after="0"/>
              <w:rPr>
                <w:sz w:val="20"/>
                <w:szCs w:val="20"/>
                <w:color w:val="auto"/>
              </w:rPr>
            </w:pPr>
            <w:r>
              <w:rPr>
                <w:rFonts w:ascii="Arial" w:cs="Arial" w:eastAsia="Arial" w:hAnsi="Arial"/>
                <w:sz w:val="14"/>
                <w:szCs w:val="14"/>
                <w:b w:val="1"/>
                <w:bCs w:val="1"/>
                <w:color w:val="1A475F"/>
              </w:rPr>
              <w:t>2026 Director Nominees</w:t>
            </w:r>
          </w:p>
        </w:tc>
        <w:tc>
          <w:tcPr>
            <w:tcW w:w="80" w:type="dxa"/>
            <w:vAlign w:val="bottom"/>
          </w:tcPr>
          <w:p>
            <w:pPr>
              <w:spacing w:after="0"/>
              <w:rPr>
                <w:sz w:val="22"/>
                <w:szCs w:val="22"/>
                <w:color w:val="auto"/>
              </w:rPr>
            </w:pPr>
          </w:p>
        </w:tc>
        <w:tc>
          <w:tcPr>
            <w:tcW w:w="260" w:type="dxa"/>
            <w:vAlign w:val="bottom"/>
            <w:tcBorders>
              <w:bottom w:val="single" w:sz="8" w:color="F0BD1B"/>
            </w:tcBorders>
            <w:shd w:val="clear" w:color="auto" w:fill="F0BD1B"/>
          </w:tcPr>
          <w:p>
            <w:pPr>
              <w:spacing w:after="0"/>
              <w:rPr>
                <w:sz w:val="22"/>
                <w:szCs w:val="22"/>
                <w:color w:val="auto"/>
              </w:rPr>
            </w:pPr>
          </w:p>
        </w:tc>
        <w:tc>
          <w:tcPr>
            <w:tcW w:w="2280" w:type="dxa"/>
            <w:vAlign w:val="bottom"/>
            <w:tcBorders>
              <w:bottom w:val="single" w:sz="8" w:color="F0BD1B"/>
            </w:tcBorders>
            <w:shd w:val="clear" w:color="auto" w:fill="F0BD1B"/>
          </w:tcPr>
          <w:p>
            <w:pPr>
              <w:ind w:left="720"/>
              <w:spacing w:after="0"/>
              <w:rPr>
                <w:sz w:val="20"/>
                <w:szCs w:val="20"/>
                <w:color w:val="auto"/>
              </w:rPr>
            </w:pPr>
            <w:r>
              <w:rPr>
                <w:rFonts w:ascii="Arial" w:cs="Arial" w:eastAsia="Arial" w:hAnsi="Arial"/>
                <w:sz w:val="14"/>
                <w:szCs w:val="14"/>
                <w:b w:val="1"/>
                <w:bCs w:val="1"/>
                <w:color w:val="1A475F"/>
              </w:rPr>
              <w:t>2027 Class</w:t>
            </w:r>
          </w:p>
        </w:tc>
      </w:tr>
      <w:tr>
        <w:trPr>
          <w:trHeight w:val="159"/>
        </w:trPr>
        <w:tc>
          <w:tcPr>
            <w:tcW w:w="280" w:type="dxa"/>
            <w:vAlign w:val="bottom"/>
          </w:tcPr>
          <w:p>
            <w:pPr>
              <w:ind w:left="100"/>
              <w:spacing w:after="0" w:line="159" w:lineRule="exact"/>
              <w:rPr>
                <w:sz w:val="20"/>
                <w:szCs w:val="20"/>
                <w:color w:val="auto"/>
              </w:rPr>
            </w:pPr>
            <w:r>
              <w:rPr>
                <w:rFonts w:ascii="Arial" w:cs="Arial" w:eastAsia="Arial" w:hAnsi="Arial"/>
                <w:sz w:val="15"/>
                <w:szCs w:val="15"/>
                <w:color w:val="1A475F"/>
              </w:rPr>
              <w:t>•</w:t>
            </w:r>
          </w:p>
        </w:tc>
        <w:tc>
          <w:tcPr>
            <w:tcW w:w="1520" w:type="dxa"/>
            <w:vAlign w:val="bottom"/>
          </w:tcPr>
          <w:p>
            <w:pPr>
              <w:ind w:left="100"/>
              <w:spacing w:after="0" w:line="159" w:lineRule="exact"/>
              <w:rPr>
                <w:sz w:val="20"/>
                <w:szCs w:val="20"/>
                <w:color w:val="auto"/>
              </w:rPr>
            </w:pPr>
            <w:r>
              <w:rPr>
                <w:rFonts w:ascii="Arial" w:cs="Arial" w:eastAsia="Arial" w:hAnsi="Arial"/>
                <w:sz w:val="15"/>
                <w:szCs w:val="15"/>
                <w:color w:val="1A475F"/>
              </w:rPr>
              <w:t>Lawrence M. Alleva</w:t>
            </w:r>
          </w:p>
        </w:tc>
        <w:tc>
          <w:tcPr>
            <w:tcW w:w="1220" w:type="dxa"/>
            <w:vAlign w:val="bottom"/>
          </w:tcPr>
          <w:p>
            <w:pPr>
              <w:ind w:left="1040"/>
              <w:spacing w:after="0" w:line="159" w:lineRule="exact"/>
              <w:rPr>
                <w:sz w:val="20"/>
                <w:szCs w:val="20"/>
                <w:color w:val="auto"/>
              </w:rPr>
            </w:pPr>
            <w:r>
              <w:rPr>
                <w:rFonts w:ascii="Arial" w:cs="Arial" w:eastAsia="Arial" w:hAnsi="Arial"/>
                <w:sz w:val="15"/>
                <w:szCs w:val="15"/>
                <w:color w:val="1A475F"/>
              </w:rPr>
              <w:t>•</w:t>
            </w:r>
          </w:p>
        </w:tc>
        <w:tc>
          <w:tcPr>
            <w:tcW w:w="2280" w:type="dxa"/>
            <w:vAlign w:val="bottom"/>
          </w:tcPr>
          <w:p>
            <w:pPr>
              <w:ind w:left="100"/>
              <w:spacing w:after="0" w:line="159" w:lineRule="exact"/>
              <w:rPr>
                <w:sz w:val="20"/>
                <w:szCs w:val="20"/>
                <w:color w:val="auto"/>
              </w:rPr>
            </w:pPr>
            <w:r>
              <w:rPr>
                <w:rFonts w:ascii="Arial" w:cs="Arial" w:eastAsia="Arial" w:hAnsi="Arial"/>
                <w:sz w:val="15"/>
                <w:szCs w:val="15"/>
                <w:color w:val="1A475F"/>
              </w:rPr>
              <w:t>David H. Lissy</w:t>
            </w:r>
          </w:p>
        </w:tc>
        <w:tc>
          <w:tcPr>
            <w:tcW w:w="80" w:type="dxa"/>
            <w:vAlign w:val="bottom"/>
          </w:tcPr>
          <w:p>
            <w:pPr>
              <w:spacing w:after="0"/>
              <w:rPr>
                <w:sz w:val="13"/>
                <w:szCs w:val="13"/>
                <w:color w:val="auto"/>
              </w:rPr>
            </w:pPr>
          </w:p>
        </w:tc>
        <w:tc>
          <w:tcPr>
            <w:tcW w:w="260" w:type="dxa"/>
            <w:vAlign w:val="bottom"/>
          </w:tcPr>
          <w:p>
            <w:pPr>
              <w:ind w:left="100"/>
              <w:spacing w:after="0" w:line="159" w:lineRule="exact"/>
              <w:rPr>
                <w:sz w:val="20"/>
                <w:szCs w:val="20"/>
                <w:color w:val="auto"/>
              </w:rPr>
            </w:pPr>
            <w:r>
              <w:rPr>
                <w:rFonts w:ascii="Arial" w:cs="Arial" w:eastAsia="Arial" w:hAnsi="Arial"/>
                <w:sz w:val="15"/>
                <w:szCs w:val="15"/>
                <w:color w:val="1A475F"/>
              </w:rPr>
              <w:t>•</w:t>
            </w:r>
          </w:p>
        </w:tc>
        <w:tc>
          <w:tcPr>
            <w:tcW w:w="2280" w:type="dxa"/>
            <w:vAlign w:val="bottom"/>
          </w:tcPr>
          <w:p>
            <w:pPr>
              <w:ind w:left="120"/>
              <w:spacing w:after="0" w:line="159" w:lineRule="exact"/>
              <w:rPr>
                <w:sz w:val="20"/>
                <w:szCs w:val="20"/>
                <w:color w:val="auto"/>
              </w:rPr>
            </w:pPr>
            <w:r>
              <w:rPr>
                <w:rFonts w:ascii="Arial" w:cs="Arial" w:eastAsia="Arial" w:hAnsi="Arial"/>
                <w:sz w:val="15"/>
                <w:szCs w:val="15"/>
                <w:color w:val="1A475F"/>
              </w:rPr>
              <w:t>Julie Atkinson</w:t>
            </w:r>
          </w:p>
        </w:tc>
      </w:tr>
      <w:tr>
        <w:trPr>
          <w:trHeight w:val="174"/>
        </w:trPr>
        <w:tc>
          <w:tcPr>
            <w:tcW w:w="280" w:type="dxa"/>
            <w:vAlign w:val="bottom"/>
          </w:tcPr>
          <w:p>
            <w:pPr>
              <w:ind w:left="100"/>
              <w:spacing w:after="0"/>
              <w:rPr>
                <w:sz w:val="20"/>
                <w:szCs w:val="20"/>
                <w:color w:val="auto"/>
              </w:rPr>
            </w:pPr>
            <w:r>
              <w:rPr>
                <w:rFonts w:ascii="Arial" w:cs="Arial" w:eastAsia="Arial" w:hAnsi="Arial"/>
                <w:sz w:val="15"/>
                <w:szCs w:val="15"/>
                <w:color w:val="1A475F"/>
              </w:rPr>
              <w:t>•</w:t>
            </w:r>
          </w:p>
        </w:tc>
        <w:tc>
          <w:tcPr>
            <w:tcW w:w="1520" w:type="dxa"/>
            <w:vAlign w:val="bottom"/>
          </w:tcPr>
          <w:p>
            <w:pPr>
              <w:ind w:left="100"/>
              <w:spacing w:after="0"/>
              <w:rPr>
                <w:sz w:val="20"/>
                <w:szCs w:val="20"/>
                <w:color w:val="auto"/>
              </w:rPr>
            </w:pPr>
            <w:r>
              <w:rPr>
                <w:rFonts w:ascii="Arial" w:cs="Arial" w:eastAsia="Arial" w:hAnsi="Arial"/>
                <w:sz w:val="15"/>
                <w:szCs w:val="15"/>
                <w:color w:val="1A475F"/>
              </w:rPr>
              <w:t>Joshua Bekenstein</w:t>
            </w:r>
          </w:p>
        </w:tc>
        <w:tc>
          <w:tcPr>
            <w:tcW w:w="1220" w:type="dxa"/>
            <w:vAlign w:val="bottom"/>
          </w:tcPr>
          <w:p>
            <w:pPr>
              <w:ind w:left="1040"/>
              <w:spacing w:after="0"/>
              <w:rPr>
                <w:sz w:val="20"/>
                <w:szCs w:val="20"/>
                <w:color w:val="auto"/>
              </w:rPr>
            </w:pPr>
            <w:r>
              <w:rPr>
                <w:rFonts w:ascii="Arial" w:cs="Arial" w:eastAsia="Arial" w:hAnsi="Arial"/>
                <w:sz w:val="15"/>
                <w:szCs w:val="15"/>
                <w:color w:val="1A475F"/>
              </w:rPr>
              <w:t>•</w:t>
            </w:r>
          </w:p>
        </w:tc>
        <w:tc>
          <w:tcPr>
            <w:tcW w:w="2360" w:type="dxa"/>
            <w:vAlign w:val="bottom"/>
            <w:gridSpan w:val="2"/>
          </w:tcPr>
          <w:p>
            <w:pPr>
              <w:ind w:left="100"/>
              <w:spacing w:after="0"/>
              <w:rPr>
                <w:sz w:val="20"/>
                <w:szCs w:val="20"/>
                <w:color w:val="auto"/>
              </w:rPr>
            </w:pPr>
            <w:r>
              <w:rPr>
                <w:rFonts w:ascii="Arial" w:cs="Arial" w:eastAsia="Arial" w:hAnsi="Arial"/>
                <w:sz w:val="15"/>
                <w:szCs w:val="15"/>
                <w:color w:val="1A475F"/>
              </w:rPr>
              <w:t>Laurel J. Richie</w:t>
            </w:r>
          </w:p>
        </w:tc>
        <w:tc>
          <w:tcPr>
            <w:tcW w:w="260" w:type="dxa"/>
            <w:vAlign w:val="bottom"/>
          </w:tcPr>
          <w:p>
            <w:pPr>
              <w:ind w:left="100"/>
              <w:spacing w:after="0"/>
              <w:rPr>
                <w:sz w:val="20"/>
                <w:szCs w:val="20"/>
                <w:color w:val="auto"/>
              </w:rPr>
            </w:pPr>
            <w:r>
              <w:rPr>
                <w:rFonts w:ascii="Arial" w:cs="Arial" w:eastAsia="Arial" w:hAnsi="Arial"/>
                <w:sz w:val="15"/>
                <w:szCs w:val="15"/>
                <w:color w:val="1A475F"/>
              </w:rPr>
              <w:t>•</w:t>
            </w:r>
          </w:p>
        </w:tc>
        <w:tc>
          <w:tcPr>
            <w:tcW w:w="2280" w:type="dxa"/>
            <w:vAlign w:val="bottom"/>
          </w:tcPr>
          <w:p>
            <w:pPr>
              <w:ind w:left="120"/>
              <w:spacing w:after="0"/>
              <w:rPr>
                <w:sz w:val="20"/>
                <w:szCs w:val="20"/>
                <w:color w:val="auto"/>
              </w:rPr>
            </w:pPr>
            <w:r>
              <w:rPr>
                <w:rFonts w:ascii="Arial" w:cs="Arial" w:eastAsia="Arial" w:hAnsi="Arial"/>
                <w:sz w:val="15"/>
                <w:szCs w:val="15"/>
                <w:color w:val="1A475F"/>
              </w:rPr>
              <w:t>Jordan Hitch</w:t>
            </w:r>
          </w:p>
        </w:tc>
      </w:tr>
      <w:tr>
        <w:trPr>
          <w:trHeight w:val="202"/>
        </w:trPr>
        <w:tc>
          <w:tcPr>
            <w:tcW w:w="280" w:type="dxa"/>
            <w:vAlign w:val="bottom"/>
          </w:tcPr>
          <w:p>
            <w:pPr>
              <w:ind w:left="100"/>
              <w:spacing w:after="0"/>
              <w:rPr>
                <w:sz w:val="20"/>
                <w:szCs w:val="20"/>
                <w:color w:val="auto"/>
              </w:rPr>
            </w:pPr>
            <w:r>
              <w:rPr>
                <w:rFonts w:ascii="Arial" w:cs="Arial" w:eastAsia="Arial" w:hAnsi="Arial"/>
                <w:sz w:val="15"/>
                <w:szCs w:val="15"/>
                <w:color w:val="1A475F"/>
              </w:rPr>
              <w:t>•</w:t>
            </w:r>
          </w:p>
        </w:tc>
        <w:tc>
          <w:tcPr>
            <w:tcW w:w="1520" w:type="dxa"/>
            <w:vAlign w:val="bottom"/>
          </w:tcPr>
          <w:p>
            <w:pPr>
              <w:ind w:left="100"/>
              <w:spacing w:after="0"/>
              <w:rPr>
                <w:sz w:val="20"/>
                <w:szCs w:val="20"/>
                <w:color w:val="auto"/>
              </w:rPr>
            </w:pPr>
            <w:r>
              <w:rPr>
                <w:rFonts w:ascii="Arial" w:cs="Arial" w:eastAsia="Arial" w:hAnsi="Arial"/>
                <w:sz w:val="15"/>
                <w:szCs w:val="15"/>
                <w:color w:val="1A475F"/>
              </w:rPr>
              <w:t>Stephen H. Kramer</w:t>
            </w:r>
          </w:p>
        </w:tc>
        <w:tc>
          <w:tcPr>
            <w:tcW w:w="1220" w:type="dxa"/>
            <w:vAlign w:val="bottom"/>
          </w:tcPr>
          <w:p>
            <w:pPr>
              <w:ind w:left="1040"/>
              <w:spacing w:after="0"/>
              <w:rPr>
                <w:sz w:val="20"/>
                <w:szCs w:val="20"/>
                <w:color w:val="auto"/>
              </w:rPr>
            </w:pPr>
            <w:r>
              <w:rPr>
                <w:rFonts w:ascii="Arial" w:cs="Arial" w:eastAsia="Arial" w:hAnsi="Arial"/>
                <w:sz w:val="15"/>
                <w:szCs w:val="15"/>
                <w:color w:val="1A475F"/>
              </w:rPr>
              <w:t>•</w:t>
            </w:r>
          </w:p>
        </w:tc>
        <w:tc>
          <w:tcPr>
            <w:tcW w:w="2360" w:type="dxa"/>
            <w:vAlign w:val="bottom"/>
            <w:gridSpan w:val="2"/>
          </w:tcPr>
          <w:p>
            <w:pPr>
              <w:ind w:left="100"/>
              <w:spacing w:after="0"/>
              <w:rPr>
                <w:sz w:val="20"/>
                <w:szCs w:val="20"/>
                <w:color w:val="auto"/>
              </w:rPr>
            </w:pPr>
            <w:r>
              <w:rPr>
                <w:rFonts w:ascii="Arial" w:cs="Arial" w:eastAsia="Arial" w:hAnsi="Arial"/>
                <w:sz w:val="15"/>
                <w:szCs w:val="15"/>
                <w:color w:val="1A475F"/>
              </w:rPr>
              <w:t>Jennifer Schulz</w:t>
            </w:r>
          </w:p>
        </w:tc>
        <w:tc>
          <w:tcPr>
            <w:tcW w:w="260" w:type="dxa"/>
            <w:vAlign w:val="bottom"/>
          </w:tcPr>
          <w:p>
            <w:pPr>
              <w:ind w:left="100"/>
              <w:spacing w:after="0"/>
              <w:rPr>
                <w:sz w:val="20"/>
                <w:szCs w:val="20"/>
                <w:color w:val="auto"/>
              </w:rPr>
            </w:pPr>
            <w:r>
              <w:rPr>
                <w:rFonts w:ascii="Arial" w:cs="Arial" w:eastAsia="Arial" w:hAnsi="Arial"/>
                <w:sz w:val="15"/>
                <w:szCs w:val="15"/>
                <w:color w:val="1A475F"/>
              </w:rPr>
              <w:t>•</w:t>
            </w:r>
          </w:p>
        </w:tc>
        <w:tc>
          <w:tcPr>
            <w:tcW w:w="2280" w:type="dxa"/>
            <w:vAlign w:val="bottom"/>
          </w:tcPr>
          <w:p>
            <w:pPr>
              <w:ind w:left="120"/>
              <w:spacing w:after="0"/>
              <w:rPr>
                <w:sz w:val="20"/>
                <w:szCs w:val="20"/>
                <w:color w:val="auto"/>
              </w:rPr>
            </w:pPr>
            <w:r>
              <w:rPr>
                <w:rFonts w:ascii="Arial" w:cs="Arial" w:eastAsia="Arial" w:hAnsi="Arial"/>
                <w:sz w:val="15"/>
                <w:szCs w:val="15"/>
                <w:color w:val="1A475F"/>
              </w:rPr>
              <w:t>Mary Ann Tocio</w:t>
            </w:r>
          </w:p>
        </w:tc>
      </w:tr>
    </w:tbl>
    <w:p>
      <w:pPr>
        <w:spacing w:after="0" w:line="157" w:lineRule="exact"/>
        <w:rPr>
          <w:sz w:val="20"/>
          <w:szCs w:val="20"/>
          <w:color w:val="auto"/>
        </w:rPr>
      </w:pPr>
    </w:p>
    <w:p>
      <w:pPr>
        <w:ind w:left="900" w:firstLine="756"/>
        <w:spacing w:after="0" w:line="248" w:lineRule="auto"/>
        <w:rPr>
          <w:sz w:val="20"/>
          <w:szCs w:val="20"/>
          <w:color w:val="auto"/>
        </w:rPr>
      </w:pPr>
      <w:r>
        <w:rPr>
          <w:rFonts w:ascii="Arial" w:cs="Arial" w:eastAsia="Arial" w:hAnsi="Arial"/>
          <w:sz w:val="15"/>
          <w:szCs w:val="15"/>
          <w:color w:val="1A475F"/>
        </w:rPr>
        <w:t>This year, the 2026 Director Nominees, whose terms expire at this Annual Meeting, will stand for election to a one-year term expiring at the 2027 Annual Meeting. The persons named as proxies will vote to elect Lawrence M. Alleva, Joshua Bekenstein, Stephen H. Kramer, David H. Lissy, Laurel J. Richie, and Jennifer Schulz as directors unless your proxy is marked otherwise. Each of these nominees has indicated his or her willingness to serve, if elected, and as of the date of this Proxy Statement, the Board is not aware that any nominee is unable or will decline to serve as a director. In the event any nominee is unable to serve as a director at the time of the Annual Meeting, the shares of common stock represented by proxies may be voted for a substitute nominee, if any, who may be designated by the Board to fill the vacancy.</w:t>
      </w:r>
    </w:p>
    <w:p>
      <w:pPr>
        <w:spacing w:after="0" w:line="60" w:lineRule="exact"/>
        <w:rPr>
          <w:sz w:val="20"/>
          <w:szCs w:val="20"/>
          <w:color w:val="auto"/>
        </w:rPr>
      </w:pPr>
    </w:p>
    <w:p>
      <w:pPr>
        <w:ind w:left="900" w:right="120" w:firstLine="756"/>
        <w:spacing w:after="0" w:line="251" w:lineRule="auto"/>
        <w:rPr>
          <w:sz w:val="20"/>
          <w:szCs w:val="20"/>
          <w:color w:val="auto"/>
        </w:rPr>
      </w:pPr>
      <w:r>
        <w:rPr>
          <w:rFonts w:ascii="Arial" w:cs="Arial" w:eastAsia="Arial" w:hAnsi="Arial"/>
          <w:sz w:val="15"/>
          <w:szCs w:val="15"/>
          <w:color w:val="1A475F"/>
        </w:rPr>
        <w:t>We seek nominees with established strong professional reputations, business acumen and experience in multi-site operations and/or contracted business services in the child care, employee benefits and work/life solutions industries. We also seek nominees with experience in substantive areas that are important to our business such as strategic planning and leadership of complex organizations; human resources and development practices; international operations; capital markets; marketing strategy; innovation; accounting, compliance and risk.</w:t>
      </w:r>
    </w:p>
    <w:p>
      <w:pPr>
        <w:spacing w:after="0" w:line="59" w:lineRule="exact"/>
        <w:rPr>
          <w:sz w:val="20"/>
          <w:szCs w:val="20"/>
          <w:color w:val="auto"/>
        </w:rPr>
      </w:pPr>
    </w:p>
    <w:p>
      <w:pPr>
        <w:ind w:left="900" w:firstLine="756"/>
        <w:spacing w:after="0" w:line="255" w:lineRule="auto"/>
        <w:rPr>
          <w:sz w:val="20"/>
          <w:szCs w:val="20"/>
          <w:color w:val="auto"/>
        </w:rPr>
      </w:pPr>
      <w:r>
        <w:rPr>
          <w:rFonts w:ascii="Arial" w:cs="Arial" w:eastAsia="Arial" w:hAnsi="Arial"/>
          <w:sz w:val="15"/>
          <w:szCs w:val="15"/>
          <w:color w:val="1A475F"/>
        </w:rPr>
        <w:t>The nominees have substantial expertise in leadership and operations, management, marketing and brand development, accounting/audit, risk management, finance/capital markets, and industry experience. The diversity of experience of these nominees, as illustrated by the skills described in their biographies below, help drive our strategic priorities. Each nominee brings a unique perspective to our Board that we believe is invaluable.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117475</wp:posOffset>
            </wp:positionV>
            <wp:extent cx="5997575" cy="161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97575" cy="16192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Nominees for Election</w:t>
      </w:r>
    </w:p>
    <w:p>
      <w:pPr>
        <w:spacing w:after="0" w:line="119" w:lineRule="exact"/>
        <w:rPr>
          <w:sz w:val="20"/>
          <w:szCs w:val="20"/>
          <w:color w:val="auto"/>
        </w:rPr>
      </w:pPr>
    </w:p>
    <w:p>
      <w:pPr>
        <w:ind w:left="900" w:right="40" w:firstLine="756"/>
        <w:spacing w:after="0" w:line="255" w:lineRule="auto"/>
        <w:rPr>
          <w:sz w:val="20"/>
          <w:szCs w:val="20"/>
          <w:color w:val="auto"/>
        </w:rPr>
      </w:pPr>
      <w:r>
        <w:rPr>
          <w:rFonts w:ascii="Arial" w:cs="Arial" w:eastAsia="Arial" w:hAnsi="Arial"/>
          <w:sz w:val="15"/>
          <w:szCs w:val="15"/>
          <w:color w:val="1A475F"/>
        </w:rPr>
        <w:t>The individuals listed below, Lawrence M. Alleva, Joshua Bekenstein, Stephen H. Kramer, David H. Lissy, Laurel J. Richie, and Jennifer Schulz, have been nominated and are standing for election at this year’s Annual Meeting. If elected, they will hold office until our 2027 Annual Meeting and until their successors are duly elected and qualified. All 2026 Director Nominees, with the exception of Ms. Schulz who joined the Board in September 2024, were previously elected to the Board by shareholders.</w:t>
      </w:r>
    </w:p>
    <w:p>
      <w:pPr>
        <w:spacing w:after="0" w:line="54" w:lineRule="exact"/>
        <w:rPr>
          <w:sz w:val="20"/>
          <w:szCs w:val="20"/>
          <w:color w:val="auto"/>
        </w:rPr>
      </w:pPr>
    </w:p>
    <w:p>
      <w:pPr>
        <w:ind w:left="900" w:right="20" w:firstLine="756"/>
        <w:spacing w:after="0" w:line="248" w:lineRule="auto"/>
        <w:rPr>
          <w:sz w:val="20"/>
          <w:szCs w:val="20"/>
          <w:color w:val="auto"/>
        </w:rPr>
      </w:pPr>
      <w:r>
        <w:rPr>
          <w:rFonts w:ascii="Arial" w:cs="Arial" w:eastAsia="Arial" w:hAnsi="Arial"/>
          <w:sz w:val="15"/>
          <w:szCs w:val="15"/>
          <w:color w:val="1A475F"/>
        </w:rPr>
        <w:t>With the exception of Mr. Kramer, our Chief Executive Officer, this year’s nominees are all independent. Each nominee holds or has held senior executive positions in large, complex organizations or with businesses within our industry, and has a broad range of experience that spans different industries and sectors. Each nominee has experience serving on boards and committees of other public companies and possesses an understanding of public company corporate governance practices and trends. Our nominees have served the Board previously, which has provided them with significant exposure to both our business and the industry in which we operate. Our nominees bring to our Board a variety of skills, qualifications and viewpoints that both strengthen their ability to carry out their oversight role on behalf of our shareholders and bring richness to Board deliberations.</w:t>
      </w:r>
    </w:p>
    <w:p>
      <w:pPr>
        <w:spacing w:after="0" w:line="93" w:lineRule="exact"/>
        <w:rPr>
          <w:sz w:val="20"/>
          <w:szCs w:val="20"/>
          <w:color w:val="auto"/>
        </w:rPr>
      </w:pPr>
    </w:p>
    <w:p>
      <w:pPr>
        <w:ind w:left="1200" w:hanging="299"/>
        <w:spacing w:after="0"/>
        <w:tabs>
          <w:tab w:leader="none" w:pos="1200" w:val="left"/>
        </w:tabs>
        <w:numPr>
          <w:ilvl w:val="0"/>
          <w:numId w:val="8"/>
        </w:numPr>
        <w:rPr>
          <w:rFonts w:ascii="Arial" w:cs="Arial" w:eastAsia="Arial" w:hAnsi="Arial"/>
          <w:sz w:val="15"/>
          <w:szCs w:val="15"/>
          <w:b w:val="1"/>
          <w:bCs w:val="1"/>
          <w:color w:val="1A475F"/>
        </w:rPr>
      </w:pPr>
      <w:r>
        <w:rPr>
          <w:rFonts w:ascii="Arial" w:cs="Arial" w:eastAsia="Arial" w:hAnsi="Arial"/>
          <w:sz w:val="15"/>
          <w:szCs w:val="15"/>
          <w:b w:val="1"/>
          <w:bCs w:val="1"/>
          <w:color w:val="1A475F"/>
        </w:rPr>
        <w:t>|    Bright Horizons </w:t>
      </w:r>
    </w:p>
    <w:p>
      <w:pPr>
        <w:sectPr>
          <w:pgSz w:w="11900" w:h="16838" w:orient="portrait"/>
          <w:cols w:equalWidth="0" w:num="1">
            <w:col w:w="10340"/>
          </w:cols>
          <w:pgMar w:left="320" w:top="433" w:right="1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right="320" w:firstLine="756"/>
        <w:spacing w:after="0" w:line="282" w:lineRule="auto"/>
        <w:rPr>
          <w:sz w:val="20"/>
          <w:szCs w:val="20"/>
          <w:color w:val="auto"/>
        </w:rPr>
      </w:pPr>
      <w:r>
        <w:rPr>
          <w:rFonts w:ascii="Arial" w:cs="Arial" w:eastAsia="Arial" w:hAnsi="Arial"/>
          <w:sz w:val="15"/>
          <w:szCs w:val="15"/>
          <w:color w:val="1A475F"/>
        </w:rPr>
        <w:t>We believe that all our nominees possess the professional and personal qualifications necessary for Board service, and we have highlighted particularly noteworthy attributes and qualifications for each director in the individual biographies below.</w:t>
      </w:r>
    </w:p>
    <w:p>
      <w:pPr>
        <w:spacing w:after="0" w:line="127"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2026 Director Nominees (Term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142240</wp:posOffset>
            </wp:positionV>
            <wp:extent cx="6012815" cy="2197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12815" cy="2197735"/>
                    </a:xfrm>
                    <a:prstGeom prst="rect">
                      <a:avLst/>
                    </a:prstGeom>
                    <a:noFill/>
                  </pic:spPr>
                </pic:pic>
              </a:graphicData>
            </a:graphic>
          </wp:anchor>
        </w:drawing>
      </w:r>
    </w:p>
    <w:p>
      <w:pPr>
        <w:sectPr>
          <w:pgSz w:w="11900" w:h="16838" w:orient="portrait"/>
          <w:cols w:equalWidth="0" w:num="1">
            <w:col w:w="10360"/>
          </w:cols>
          <w:pgMar w:left="320" w:top="43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Lawrence M. Alleva</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 xml:space="preserve">Age: </w:t>
      </w:r>
      <w:r>
        <w:rPr>
          <w:rFonts w:ascii="Arial" w:cs="Arial" w:eastAsia="Arial" w:hAnsi="Arial"/>
          <w:sz w:val="15"/>
          <w:szCs w:val="15"/>
          <w:color w:val="1A475F"/>
        </w:rPr>
        <w:t>76</w: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 xml:space="preserve">Director since: </w:t>
      </w:r>
      <w:r>
        <w:rPr>
          <w:rFonts w:ascii="Arial" w:cs="Arial" w:eastAsia="Arial" w:hAnsi="Arial"/>
          <w:sz w:val="15"/>
          <w:szCs w:val="15"/>
          <w:color w:val="1A475F"/>
        </w:rPr>
        <w:t>2012</w: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Committees:</w:t>
      </w:r>
    </w:p>
    <w:p>
      <w:pPr>
        <w:spacing w:after="0" w:line="36" w:lineRule="exact"/>
        <w:rPr>
          <w:sz w:val="20"/>
          <w:szCs w:val="20"/>
          <w:color w:val="auto"/>
        </w:rPr>
      </w:pPr>
    </w:p>
    <w:p>
      <w:pPr>
        <w:ind w:left="1320" w:hanging="284"/>
        <w:spacing w:after="0"/>
        <w:tabs>
          <w:tab w:leader="none" w:pos="1320" w:val="left"/>
        </w:tabs>
        <w:numPr>
          <w:ilvl w:val="0"/>
          <w:numId w:val="9"/>
        </w:numPr>
        <w:rPr>
          <w:rFonts w:ascii="Arial" w:cs="Arial" w:eastAsia="Arial" w:hAnsi="Arial"/>
          <w:sz w:val="15"/>
          <w:szCs w:val="15"/>
          <w:color w:val="1A475F"/>
        </w:rPr>
      </w:pPr>
      <w:r>
        <w:rPr>
          <w:rFonts w:ascii="Arial" w:cs="Arial" w:eastAsia="Arial" w:hAnsi="Arial"/>
          <w:sz w:val="15"/>
          <w:szCs w:val="15"/>
          <w:color w:val="1A475F"/>
        </w:rPr>
        <w:t>Audit, Chair</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right="80"/>
        <w:spacing w:after="0" w:line="245" w:lineRule="auto"/>
        <w:rPr>
          <w:sz w:val="20"/>
          <w:szCs w:val="20"/>
          <w:color w:val="auto"/>
        </w:rPr>
      </w:pPr>
      <w:r>
        <w:rPr>
          <w:rFonts w:ascii="Arial" w:cs="Arial" w:eastAsia="Arial" w:hAnsi="Arial"/>
          <w:sz w:val="15"/>
          <w:szCs w:val="15"/>
          <w:b w:val="1"/>
          <w:bCs w:val="1"/>
          <w:i w:val="1"/>
          <w:iCs w:val="1"/>
          <w:color w:val="1A475F"/>
        </w:rPr>
        <w:t xml:space="preserve">Background: </w:t>
      </w:r>
      <w:r>
        <w:rPr>
          <w:rFonts w:ascii="Arial" w:cs="Arial" w:eastAsia="Arial" w:hAnsi="Arial"/>
          <w:sz w:val="15"/>
          <w:szCs w:val="15"/>
          <w:color w:val="1A475F"/>
        </w:rPr>
        <w:t>Mr. Alleva is a Certified Public Accountant (inactive) and spent his professional career with</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PricewaterhouseCoopers LLP (“PwC”), including 28 years as a partner, from 1971 until his retirement in 2010. At PwC he served clients ranging from Fortune 500 and multinational companies to rapid-growth companies pursuing initial public offerings. Mr. Alleva also served in a senior national leadership role for PwC’s Ethics and Compliance Group to manage the design and implementation of best practice procedures, internal controls and monitoring activities, including PwC’s response to inspection reports issued by the Public Company Accounting Oversight Board. Mr. Alleva currently serves as a director and Chair of the audit committee of Adaptimmune Therapeutics PLC (Nasdaq: ADAP) and on the board of Galera Therapeutics, Inc. (Nasdaq: GRTX) as well as a member of the Galera Compensation Committee. He previously served as audit Chair for Tesaro Inc. (Nasdaq: TSRO) until January 2019, Mersana Therapeutics (Nasdaq: MSRN) until January 2026 and Mirna Therapeutics, Inc. (Nasdaq: MIRN) until August 2017. He served as a trustee of Ithaca College for over 20 years, including in the Vice-Chair role for 10 years.</w:t>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A475F"/>
        </w:rPr>
        <w:t xml:space="preserve">Current public company directorships (including Bright Horizons): </w:t>
      </w:r>
      <w:r>
        <w:rPr>
          <w:rFonts w:ascii="Arial" w:cs="Arial" w:eastAsia="Arial" w:hAnsi="Arial"/>
          <w:sz w:val="15"/>
          <w:szCs w:val="15"/>
          <w:color w:val="1A475F"/>
        </w:rPr>
        <w:t>3</w:t>
      </w:r>
    </w:p>
    <w:p>
      <w:pPr>
        <w:spacing w:after="0" w:line="210" w:lineRule="exact"/>
        <w:rPr>
          <w:sz w:val="20"/>
          <w:szCs w:val="20"/>
          <w:color w:val="auto"/>
        </w:rPr>
      </w:pPr>
    </w:p>
    <w:p>
      <w:pPr>
        <w:ind w:right="240"/>
        <w:spacing w:after="0" w:line="261" w:lineRule="auto"/>
        <w:rPr>
          <w:sz w:val="20"/>
          <w:szCs w:val="20"/>
          <w:color w:val="auto"/>
        </w:rPr>
      </w:pPr>
      <w:r>
        <w:rPr>
          <w:rFonts w:ascii="Arial" w:cs="Arial" w:eastAsia="Arial" w:hAnsi="Arial"/>
          <w:sz w:val="15"/>
          <w:szCs w:val="15"/>
          <w:b w:val="1"/>
          <w:bCs w:val="1"/>
          <w:i w:val="1"/>
          <w:iCs w:val="1"/>
          <w:color w:val="1A475F"/>
        </w:rPr>
        <w:t xml:space="preserve">Qualifications: </w:t>
      </w:r>
      <w:r>
        <w:rPr>
          <w:rFonts w:ascii="Arial" w:cs="Arial" w:eastAsia="Arial" w:hAnsi="Arial"/>
          <w:sz w:val="15"/>
          <w:szCs w:val="15"/>
          <w:color w:val="1A475F"/>
        </w:rPr>
        <w:t>Mr. Alleva brings valuable experience to the Board through his audit assurance and</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Sarbanes-Oxley Act expertise, as well as his professional focus on areas such as corporate governance, business strategy, risk, internal controls and financial reporting best practices.</w:t>
      </w:r>
    </w:p>
    <w:p>
      <w:pPr>
        <w:spacing w:after="0" w:line="196" w:lineRule="exact"/>
        <w:rPr>
          <w:sz w:val="20"/>
          <w:szCs w:val="20"/>
          <w:color w:val="auto"/>
        </w:rPr>
      </w:pPr>
    </w:p>
    <w:p>
      <w:pPr>
        <w:sectPr>
          <w:pgSz w:w="11900" w:h="16838" w:orient="portrait"/>
          <w:cols w:equalWidth="0" w:num="2">
            <w:col w:w="2500" w:space="480"/>
            <w:col w:w="7380"/>
          </w:cols>
          <w:pgMar w:left="320" w:top="433" w:right="1219" w:bottom="1440" w:gutter="0" w:footer="0" w:header="0"/>
          <w:type w:val="continuous"/>
        </w:sectPr>
      </w:pPr>
    </w:p>
    <w:tbl>
      <w:tblPr>
        <w:tblLayout w:type="fixed"/>
        <w:tblInd w:w="910" w:type="dxa"/>
        <w:tblCellMar>
          <w:top w:w="0" w:type="dxa"/>
          <w:left w:w="0" w:type="dxa"/>
          <w:bottom w:w="0" w:type="dxa"/>
          <w:right w:w="0" w:type="dxa"/>
        </w:tblCellMar>
      </w:tblPr>
      <w:tr>
        <w:trPr>
          <w:trHeight w:val="217"/>
        </w:trPr>
        <w:tc>
          <w:tcPr>
            <w:tcW w:w="1840" w:type="dxa"/>
            <w:vAlign w:val="bottom"/>
            <w:tcBorders>
              <w:top w:val="single" w:sz="8" w:color="1A475F"/>
              <w:left w:val="single" w:sz="8" w:color="1A475F"/>
            </w:tcBorders>
          </w:tcPr>
          <w:p>
            <w:pPr>
              <w:spacing w:after="0"/>
              <w:rPr>
                <w:sz w:val="18"/>
                <w:szCs w:val="18"/>
                <w:color w:val="auto"/>
              </w:rPr>
            </w:pPr>
          </w:p>
        </w:tc>
        <w:tc>
          <w:tcPr>
            <w:tcW w:w="7620" w:type="dxa"/>
            <w:vAlign w:val="bottom"/>
            <w:tcBorders>
              <w:top w:val="single" w:sz="8" w:color="1A475F"/>
              <w:right w:val="single" w:sz="8" w:color="1A475F"/>
            </w:tcBorders>
          </w:tcPr>
          <w:p>
            <w:pPr>
              <w:ind w:left="240"/>
              <w:spacing w:after="0"/>
              <w:rPr>
                <w:sz w:val="20"/>
                <w:szCs w:val="20"/>
                <w:color w:val="auto"/>
              </w:rPr>
            </w:pPr>
            <w:r>
              <w:rPr>
                <w:rFonts w:ascii="Arial" w:cs="Arial" w:eastAsia="Arial" w:hAnsi="Arial"/>
                <w:sz w:val="15"/>
                <w:szCs w:val="15"/>
                <w:b w:val="1"/>
                <w:bCs w:val="1"/>
                <w:i w:val="1"/>
                <w:iCs w:val="1"/>
                <w:color w:val="1A475F"/>
              </w:rPr>
              <w:t xml:space="preserve">Background: </w:t>
            </w:r>
            <w:r>
              <w:rPr>
                <w:rFonts w:ascii="Arial" w:cs="Arial" w:eastAsia="Arial" w:hAnsi="Arial"/>
                <w:sz w:val="15"/>
                <w:szCs w:val="15"/>
                <w:color w:val="1A475F"/>
              </w:rPr>
              <w:t>Mr. Bekenstein has been a Senior Advisor at Bain Capital LLP (“Bain Capital”) since</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January 1, 2023. Previously, he was Co-Chair of Bain Capital until December 31, 2022 and a Managing</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Director at Bain Capital since 1986. Mr. Bekenstein serves as a director of BRP Inc. (TSX: DOO) and as a</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member of their Human Resources and Compensation Committee as well as their Nominating,</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Governance and Social Responsibility Committee. Mr. Bekenstein serves as a director of Dollarama Inc.</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(OTC: DLMAF) and as a member of their Human Resources and Compensation Committee.</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Mr. Bekenstein also serves as a director of Bob’s Discount Furniture, Inc. (NYSE: BOBS) and as a member</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of their People Committee. He previously served on the boards of The Michaels Companies, Inc. (Nasdaq:</w:t>
            </w:r>
          </w:p>
        </w:tc>
        <w:tc>
          <w:tcPr>
            <w:tcW w:w="0" w:type="dxa"/>
            <w:vAlign w:val="bottom"/>
          </w:tcPr>
          <w:p>
            <w:pPr>
              <w:spacing w:after="0"/>
              <w:rPr>
                <w:sz w:val="1"/>
                <w:szCs w:val="1"/>
                <w:color w:val="auto"/>
              </w:rPr>
            </w:pPr>
          </w:p>
        </w:tc>
      </w:tr>
      <w:tr>
        <w:trPr>
          <w:trHeight w:val="202"/>
        </w:trPr>
        <w:tc>
          <w:tcPr>
            <w:tcW w:w="1840" w:type="dxa"/>
            <w:vAlign w:val="bottom"/>
            <w:tcBorders>
              <w:left w:val="single" w:sz="8" w:color="1A475F"/>
            </w:tcBorders>
          </w:tcPr>
          <w:p>
            <w:pPr>
              <w:spacing w:after="0"/>
              <w:rPr>
                <w:sz w:val="17"/>
                <w:szCs w:val="17"/>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MIK) until January 2022 and Canada Goose Holdings Inc. (NYSE: GOOS) until September 2023.</w:t>
            </w:r>
          </w:p>
        </w:tc>
        <w:tc>
          <w:tcPr>
            <w:tcW w:w="0" w:type="dxa"/>
            <w:vAlign w:val="bottom"/>
          </w:tcPr>
          <w:p>
            <w:pPr>
              <w:spacing w:after="0"/>
              <w:rPr>
                <w:sz w:val="1"/>
                <w:szCs w:val="1"/>
                <w:color w:val="auto"/>
              </w:rPr>
            </w:pPr>
          </w:p>
        </w:tc>
      </w:tr>
      <w:tr>
        <w:trPr>
          <w:trHeight w:val="213"/>
        </w:trPr>
        <w:tc>
          <w:tcPr>
            <w:tcW w:w="1840" w:type="dxa"/>
            <w:vAlign w:val="bottom"/>
            <w:tcBorders>
              <w:left w:val="single" w:sz="8" w:color="1A475F"/>
            </w:tcBorders>
          </w:tcPr>
          <w:p>
            <w:pPr>
              <w:ind w:left="140"/>
              <w:spacing w:after="0"/>
              <w:rPr>
                <w:sz w:val="20"/>
                <w:szCs w:val="20"/>
                <w:color w:val="auto"/>
              </w:rPr>
            </w:pPr>
            <w:r>
              <w:rPr>
                <w:rFonts w:ascii="Arial" w:cs="Arial" w:eastAsia="Arial" w:hAnsi="Arial"/>
                <w:sz w:val="15"/>
                <w:szCs w:val="15"/>
                <w:b w:val="1"/>
                <w:bCs w:val="1"/>
                <w:color w:val="1A475F"/>
              </w:rPr>
              <w:t>Joshua Bekenstein</w:t>
            </w:r>
          </w:p>
        </w:tc>
        <w:tc>
          <w:tcPr>
            <w:tcW w:w="7620" w:type="dxa"/>
            <w:vAlign w:val="bottom"/>
            <w:tcBorders>
              <w:right w:val="single" w:sz="8" w:color="1A475F"/>
            </w:tcBorders>
            <w:vMerge w:val="restart"/>
          </w:tcPr>
          <w:p>
            <w:pPr>
              <w:ind w:left="240"/>
              <w:spacing w:after="0"/>
              <w:rPr>
                <w:sz w:val="20"/>
                <w:szCs w:val="20"/>
                <w:color w:val="auto"/>
              </w:rPr>
            </w:pPr>
            <w:r>
              <w:rPr>
                <w:rFonts w:ascii="Arial" w:cs="Arial" w:eastAsia="Arial" w:hAnsi="Arial"/>
                <w:sz w:val="15"/>
                <w:szCs w:val="15"/>
                <w:b w:val="1"/>
                <w:bCs w:val="1"/>
                <w:i w:val="1"/>
                <w:iCs w:val="1"/>
                <w:color w:val="1A475F"/>
              </w:rPr>
              <w:t xml:space="preserve">Current public company directorships (including Bright Horizons): </w:t>
            </w:r>
            <w:r>
              <w:rPr>
                <w:rFonts w:ascii="Arial" w:cs="Arial" w:eastAsia="Arial" w:hAnsi="Arial"/>
                <w:sz w:val="15"/>
                <w:szCs w:val="15"/>
                <w:color w:val="1A475F"/>
              </w:rPr>
              <w:t>4</w:t>
            </w:r>
          </w:p>
        </w:tc>
        <w:tc>
          <w:tcPr>
            <w:tcW w:w="0" w:type="dxa"/>
            <w:vAlign w:val="bottom"/>
          </w:tcPr>
          <w:p>
            <w:pPr>
              <w:spacing w:after="0"/>
              <w:rPr>
                <w:sz w:val="1"/>
                <w:szCs w:val="1"/>
                <w:color w:val="auto"/>
              </w:rPr>
            </w:pPr>
          </w:p>
        </w:tc>
      </w:tr>
      <w:tr>
        <w:trPr>
          <w:trHeight w:val="208"/>
        </w:trPr>
        <w:tc>
          <w:tcPr>
            <w:tcW w:w="1840" w:type="dxa"/>
            <w:vAlign w:val="bottom"/>
            <w:tcBorders>
              <w:left w:val="single" w:sz="8" w:color="1A475F"/>
            </w:tcBorders>
          </w:tcPr>
          <w:p>
            <w:pPr>
              <w:ind w:left="140"/>
              <w:spacing w:after="0"/>
              <w:rPr>
                <w:sz w:val="20"/>
                <w:szCs w:val="20"/>
                <w:color w:val="auto"/>
              </w:rPr>
            </w:pPr>
            <w:r>
              <w:rPr>
                <w:rFonts w:ascii="Arial" w:cs="Arial" w:eastAsia="Arial" w:hAnsi="Arial"/>
                <w:sz w:val="15"/>
                <w:szCs w:val="15"/>
                <w:b w:val="1"/>
                <w:bCs w:val="1"/>
                <w:color w:val="1A475F"/>
              </w:rPr>
              <w:t xml:space="preserve">Age: </w:t>
            </w:r>
            <w:r>
              <w:rPr>
                <w:rFonts w:ascii="Arial" w:cs="Arial" w:eastAsia="Arial" w:hAnsi="Arial"/>
                <w:sz w:val="15"/>
                <w:szCs w:val="15"/>
                <w:color w:val="1A475F"/>
              </w:rPr>
              <w:t>67</w:t>
            </w:r>
          </w:p>
        </w:tc>
        <w:tc>
          <w:tcPr>
            <w:tcW w:w="7620" w:type="dxa"/>
            <w:vAlign w:val="bottom"/>
            <w:tcBorders>
              <w:right w:val="single" w:sz="8" w:color="1A475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40" w:type="dxa"/>
            <w:vAlign w:val="bottom"/>
            <w:tcBorders>
              <w:left w:val="single" w:sz="8" w:color="1A475F"/>
            </w:tcBorders>
          </w:tcPr>
          <w:p>
            <w:pPr>
              <w:ind w:left="140"/>
              <w:spacing w:after="0"/>
              <w:rPr>
                <w:sz w:val="20"/>
                <w:szCs w:val="20"/>
                <w:color w:val="auto"/>
              </w:rPr>
            </w:pPr>
            <w:r>
              <w:rPr>
                <w:rFonts w:ascii="Arial" w:cs="Arial" w:eastAsia="Arial" w:hAnsi="Arial"/>
                <w:sz w:val="15"/>
                <w:szCs w:val="15"/>
                <w:b w:val="1"/>
                <w:bCs w:val="1"/>
                <w:color w:val="1A475F"/>
              </w:rPr>
              <w:t xml:space="preserve">Director since: </w:t>
            </w:r>
            <w:r>
              <w:rPr>
                <w:rFonts w:ascii="Arial" w:cs="Arial" w:eastAsia="Arial" w:hAnsi="Arial"/>
                <w:sz w:val="15"/>
                <w:szCs w:val="15"/>
                <w:color w:val="1A475F"/>
              </w:rPr>
              <w:t>1986</w:t>
            </w:r>
          </w:p>
        </w:tc>
        <w:tc>
          <w:tcPr>
            <w:tcW w:w="7620" w:type="dxa"/>
            <w:vAlign w:val="bottom"/>
            <w:tcBorders>
              <w:right w:val="single" w:sz="8" w:color="1A475F"/>
            </w:tcBorders>
            <w:vMerge w:val="restart"/>
          </w:tcPr>
          <w:p>
            <w:pPr>
              <w:ind w:left="240"/>
              <w:spacing w:after="0"/>
              <w:rPr>
                <w:sz w:val="20"/>
                <w:szCs w:val="20"/>
                <w:color w:val="auto"/>
              </w:rPr>
            </w:pPr>
            <w:r>
              <w:rPr>
                <w:rFonts w:ascii="Arial" w:cs="Arial" w:eastAsia="Arial" w:hAnsi="Arial"/>
                <w:sz w:val="15"/>
                <w:szCs w:val="15"/>
                <w:b w:val="1"/>
                <w:bCs w:val="1"/>
                <w:i w:val="1"/>
                <w:iCs w:val="1"/>
                <w:color w:val="1A475F"/>
              </w:rPr>
              <w:t xml:space="preserve">Qualifications: </w:t>
            </w:r>
            <w:r>
              <w:rPr>
                <w:rFonts w:ascii="Arial" w:cs="Arial" w:eastAsia="Arial" w:hAnsi="Arial"/>
                <w:sz w:val="15"/>
                <w:szCs w:val="15"/>
                <w:color w:val="1A475F"/>
              </w:rPr>
              <w:t>Mr. Bekenstein brings to the Board many years of experience both as a senior executive of</w:t>
            </w:r>
          </w:p>
        </w:tc>
        <w:tc>
          <w:tcPr>
            <w:tcW w:w="0" w:type="dxa"/>
            <w:vAlign w:val="bottom"/>
          </w:tcPr>
          <w:p>
            <w:pPr>
              <w:spacing w:after="0"/>
              <w:rPr>
                <w:sz w:val="1"/>
                <w:szCs w:val="1"/>
                <w:color w:val="auto"/>
              </w:rPr>
            </w:pPr>
          </w:p>
        </w:tc>
      </w:tr>
      <w:tr>
        <w:trPr>
          <w:trHeight w:val="106"/>
        </w:trPr>
        <w:tc>
          <w:tcPr>
            <w:tcW w:w="1840" w:type="dxa"/>
            <w:vAlign w:val="bottom"/>
            <w:tcBorders>
              <w:left w:val="single" w:sz="8" w:color="1A475F"/>
            </w:tcBorders>
            <w:vMerge w:val="restart"/>
          </w:tcPr>
          <w:p>
            <w:pPr>
              <w:ind w:left="140"/>
              <w:spacing w:after="0"/>
              <w:rPr>
                <w:sz w:val="20"/>
                <w:szCs w:val="20"/>
                <w:color w:val="auto"/>
              </w:rPr>
            </w:pPr>
            <w:r>
              <w:rPr>
                <w:rFonts w:ascii="Arial" w:cs="Arial" w:eastAsia="Arial" w:hAnsi="Arial"/>
                <w:sz w:val="15"/>
                <w:szCs w:val="15"/>
                <w:b w:val="1"/>
                <w:bCs w:val="1"/>
                <w:color w:val="1A475F"/>
              </w:rPr>
              <w:t>Committees:</w:t>
            </w:r>
          </w:p>
        </w:tc>
        <w:tc>
          <w:tcPr>
            <w:tcW w:w="7620" w:type="dxa"/>
            <w:vAlign w:val="bottom"/>
            <w:tcBorders>
              <w:right w:val="single" w:sz="8" w:color="1A475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840" w:type="dxa"/>
            <w:vAlign w:val="bottom"/>
            <w:tcBorders>
              <w:left w:val="single" w:sz="8" w:color="1A475F"/>
            </w:tcBorders>
            <w:vMerge w:val="continue"/>
          </w:tcPr>
          <w:p>
            <w:pPr>
              <w:spacing w:after="0"/>
              <w:rPr>
                <w:sz w:val="9"/>
                <w:szCs w:val="9"/>
                <w:color w:val="auto"/>
              </w:rPr>
            </w:pPr>
          </w:p>
        </w:tc>
        <w:tc>
          <w:tcPr>
            <w:tcW w:w="7620" w:type="dxa"/>
            <w:vAlign w:val="bottom"/>
            <w:tcBorders>
              <w:right w:val="single" w:sz="8" w:color="1A475F"/>
            </w:tcBorders>
            <w:vMerge w:val="restart"/>
          </w:tcPr>
          <w:p>
            <w:pPr>
              <w:ind w:left="240"/>
              <w:spacing w:after="0"/>
              <w:rPr>
                <w:sz w:val="20"/>
                <w:szCs w:val="20"/>
                <w:color w:val="auto"/>
              </w:rPr>
            </w:pPr>
            <w:r>
              <w:rPr>
                <w:rFonts w:ascii="Arial" w:cs="Arial" w:eastAsia="Arial" w:hAnsi="Arial"/>
                <w:sz w:val="15"/>
                <w:szCs w:val="15"/>
                <w:color w:val="1A475F"/>
              </w:rPr>
              <w:t>a large investment firm and as a director of public companies in various business sectors.</w:t>
            </w:r>
          </w:p>
        </w:tc>
        <w:tc>
          <w:tcPr>
            <w:tcW w:w="0" w:type="dxa"/>
            <w:vAlign w:val="bottom"/>
          </w:tcPr>
          <w:p>
            <w:pPr>
              <w:spacing w:after="0"/>
              <w:rPr>
                <w:sz w:val="1"/>
                <w:szCs w:val="1"/>
                <w:color w:val="auto"/>
              </w:rPr>
            </w:pPr>
          </w:p>
        </w:tc>
      </w:tr>
      <w:tr>
        <w:trPr>
          <w:trHeight w:val="97"/>
        </w:trPr>
        <w:tc>
          <w:tcPr>
            <w:tcW w:w="1840" w:type="dxa"/>
            <w:vAlign w:val="bottom"/>
            <w:tcBorders>
              <w:left w:val="single" w:sz="8" w:color="1A475F"/>
            </w:tcBorders>
            <w:vMerge w:val="restart"/>
          </w:tcPr>
          <w:p>
            <w:pPr>
              <w:ind w:left="140"/>
              <w:spacing w:after="0"/>
              <w:rPr>
                <w:sz w:val="20"/>
                <w:szCs w:val="20"/>
                <w:color w:val="auto"/>
              </w:rPr>
            </w:pPr>
            <w:r>
              <w:rPr>
                <w:rFonts w:ascii="Arial" w:cs="Arial" w:eastAsia="Arial" w:hAnsi="Arial"/>
                <w:sz w:val="15"/>
                <w:szCs w:val="15"/>
                <w:color w:val="1A475F"/>
              </w:rPr>
              <w:t>•   Compensation</w:t>
            </w:r>
          </w:p>
        </w:tc>
        <w:tc>
          <w:tcPr>
            <w:tcW w:w="7620" w:type="dxa"/>
            <w:vAlign w:val="bottom"/>
            <w:tcBorders>
              <w:right w:val="single" w:sz="8" w:color="1A475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840" w:type="dxa"/>
            <w:vAlign w:val="bottom"/>
            <w:tcBorders>
              <w:left w:val="single" w:sz="8" w:color="1A475F"/>
              <w:bottom w:val="single" w:sz="8" w:color="1A475F"/>
            </w:tcBorders>
            <w:vMerge w:val="continue"/>
          </w:tcPr>
          <w:p>
            <w:pPr>
              <w:spacing w:after="0"/>
              <w:rPr>
                <w:sz w:val="9"/>
                <w:szCs w:val="9"/>
                <w:color w:val="auto"/>
              </w:rPr>
            </w:pPr>
          </w:p>
        </w:tc>
        <w:tc>
          <w:tcPr>
            <w:tcW w:w="7620" w:type="dxa"/>
            <w:vAlign w:val="bottom"/>
            <w:tcBorders>
              <w:bottom w:val="single" w:sz="8" w:color="1A475F"/>
              <w:right w:val="single" w:sz="8" w:color="1A475F"/>
            </w:tcBorders>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840" w:type="dxa"/>
            <w:vAlign w:val="bottom"/>
          </w:tcPr>
          <w:p>
            <w:pPr>
              <w:spacing w:after="0"/>
              <w:rPr>
                <w:sz w:val="24"/>
                <w:szCs w:val="24"/>
                <w:color w:val="auto"/>
              </w:rPr>
            </w:pPr>
          </w:p>
        </w:tc>
        <w:tc>
          <w:tcPr>
            <w:tcW w:w="7620" w:type="dxa"/>
            <w:vAlign w:val="bottom"/>
          </w:tcPr>
          <w:p>
            <w:pPr>
              <w:ind w:left="5380"/>
              <w:spacing w:after="0"/>
              <w:rPr>
                <w:sz w:val="20"/>
                <w:szCs w:val="20"/>
                <w:color w:val="auto"/>
              </w:rPr>
            </w:pPr>
            <w:r>
              <w:rPr>
                <w:rFonts w:ascii="Arial" w:cs="Arial" w:eastAsia="Arial" w:hAnsi="Arial"/>
                <w:sz w:val="15"/>
                <w:szCs w:val="15"/>
                <w:b w:val="1"/>
                <w:bCs w:val="1"/>
                <w:color w:val="1A475F"/>
              </w:rPr>
              <w:t>  2026 Proxy Statement   |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-1879600</wp:posOffset>
            </wp:positionV>
            <wp:extent cx="955675" cy="948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55675" cy="948055"/>
                    </a:xfrm>
                    <a:prstGeom prst="rect">
                      <a:avLst/>
                    </a:prstGeom>
                    <a:noFill/>
                  </pic:spPr>
                </pic:pic>
              </a:graphicData>
            </a:graphic>
          </wp:anchor>
        </w:drawing>
      </w:r>
    </w:p>
    <w:p>
      <w:pPr>
        <w:sectPr>
          <w:pgSz w:w="11900" w:h="16838" w:orient="portrait"/>
          <w:cols w:equalWidth="0" w:num="1">
            <w:col w:w="10360"/>
          </w:cols>
          <w:pgMar w:left="320" w:top="433" w:right="12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189230</wp:posOffset>
            </wp:positionV>
            <wp:extent cx="6012815" cy="18230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12815" cy="1823085"/>
                    </a:xfrm>
                    <a:prstGeom prst="rect">
                      <a:avLst/>
                    </a:prstGeom>
                    <a:noFill/>
                  </pic:spPr>
                </pic:pic>
              </a:graphicData>
            </a:graphic>
          </wp:anchor>
        </w:drawing>
      </w:r>
    </w:p>
    <w:p>
      <w:pPr>
        <w:sectPr>
          <w:pgSz w:w="11900" w:h="16838" w:orient="portrait"/>
          <w:cols w:equalWidth="0" w:num="1">
            <w:col w:w="10300"/>
          </w:cols>
          <w:pgMar w:left="320" w:top="433"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Stephen H. Kramer</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 xml:space="preserve">Age: </w:t>
      </w:r>
      <w:r>
        <w:rPr>
          <w:rFonts w:ascii="Arial" w:cs="Arial" w:eastAsia="Arial" w:hAnsi="Arial"/>
          <w:sz w:val="15"/>
          <w:szCs w:val="15"/>
          <w:color w:val="1A475F"/>
        </w:rPr>
        <w:t>55</w: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 xml:space="preserve">Director since: </w:t>
      </w:r>
      <w:r>
        <w:rPr>
          <w:rFonts w:ascii="Arial" w:cs="Arial" w:eastAsia="Arial" w:hAnsi="Arial"/>
          <w:sz w:val="15"/>
          <w:szCs w:val="15"/>
          <w:color w:val="1A475F"/>
        </w:rPr>
        <w:t>2018</w: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Position:</w:t>
      </w:r>
    </w:p>
    <w:p>
      <w:pPr>
        <w:spacing w:after="0" w:line="36" w:lineRule="exact"/>
        <w:rPr>
          <w:sz w:val="20"/>
          <w:szCs w:val="20"/>
          <w:color w:val="auto"/>
        </w:rPr>
      </w:pPr>
    </w:p>
    <w:p>
      <w:pPr>
        <w:ind w:left="1320" w:hanging="284"/>
        <w:spacing w:after="0" w:line="280" w:lineRule="auto"/>
        <w:tabs>
          <w:tab w:leader="none" w:pos="1320" w:val="left"/>
        </w:tabs>
        <w:numPr>
          <w:ilvl w:val="0"/>
          <w:numId w:val="10"/>
        </w:numPr>
        <w:rPr>
          <w:rFonts w:ascii="Arial" w:cs="Arial" w:eastAsia="Arial" w:hAnsi="Arial"/>
          <w:sz w:val="15"/>
          <w:szCs w:val="15"/>
          <w:color w:val="1A475F"/>
        </w:rPr>
      </w:pPr>
      <w:r>
        <w:rPr>
          <w:rFonts w:ascii="Arial" w:cs="Arial" w:eastAsia="Arial" w:hAnsi="Arial"/>
          <w:sz w:val="15"/>
          <w:szCs w:val="15"/>
          <w:color w:val="1A475F"/>
        </w:rPr>
        <w:t>Chief Executive Officer and President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b w:val="1"/>
          <w:bCs w:val="1"/>
          <w:i w:val="1"/>
          <w:iCs w:val="1"/>
          <w:color w:val="1A475F"/>
        </w:rPr>
        <w:t xml:space="preserve">Background: </w:t>
      </w:r>
      <w:r>
        <w:rPr>
          <w:rFonts w:ascii="Arial" w:cs="Arial" w:eastAsia="Arial" w:hAnsi="Arial"/>
          <w:sz w:val="15"/>
          <w:szCs w:val="15"/>
          <w:color w:val="1A475F"/>
        </w:rPr>
        <w:t>Mr. Kramer has served as Chief Executive Officer and a director of the Company since</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January 2018 and as President of the Company since January 2016. Mr. Kramer served as the Chief Development Officer from January 2014 until January 2016 and as Senior Vice President, Strategic Growth &amp; Global Operations from January 2010 until December 2013. He served as Managing Director, Europe from January 2008 until December 2009. He joined Bright Horizons in September 2006 through the acquisition of College Coach, which he co-founded and led for eight years. Mr. Kramer currently serves as a director of Domino’s Pizza, Inc. (NASDAQ: DPZ) and as a member of their Audit Committee and Compensation and Human Capital Committee.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A475F"/>
        </w:rPr>
        <w:t xml:space="preserve">Current public company directorships (including Bright Horizons): </w:t>
      </w:r>
      <w:r>
        <w:rPr>
          <w:rFonts w:ascii="Arial" w:cs="Arial" w:eastAsia="Arial" w:hAnsi="Arial"/>
          <w:sz w:val="15"/>
          <w:szCs w:val="15"/>
          <w:color w:val="1A475F"/>
        </w:rPr>
        <w:t>2</w:t>
      </w:r>
    </w:p>
    <w:p>
      <w:pPr>
        <w:spacing w:after="0" w:line="210"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b w:val="1"/>
          <w:bCs w:val="1"/>
          <w:i w:val="1"/>
          <w:iCs w:val="1"/>
          <w:color w:val="1A475F"/>
        </w:rPr>
        <w:t xml:space="preserve">Qualifications: </w:t>
      </w:r>
      <w:r>
        <w:rPr>
          <w:rFonts w:ascii="Arial" w:cs="Arial" w:eastAsia="Arial" w:hAnsi="Arial"/>
          <w:sz w:val="15"/>
          <w:szCs w:val="15"/>
          <w:color w:val="1A475F"/>
        </w:rPr>
        <w:t>Mr. Kramer’s long career with Bright Horizons and his leadership and management of the</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Company’s day-to-day operations and strategic direction provides the Board with a deeper understanding of the Company’s business processes, strategic plan and operations making him a necessary and vital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205105</wp:posOffset>
            </wp:positionV>
            <wp:extent cx="6012815" cy="1866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12815" cy="1866900"/>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2760" w:space="220"/>
            <w:col w:w="7320"/>
          </w:cols>
          <w:pgMar w:left="320" w:top="433"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David H. Lissy</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 xml:space="preserve">Age: </w:t>
      </w:r>
      <w:r>
        <w:rPr>
          <w:rFonts w:ascii="Arial" w:cs="Arial" w:eastAsia="Arial" w:hAnsi="Arial"/>
          <w:sz w:val="15"/>
          <w:szCs w:val="15"/>
          <w:color w:val="1A475F"/>
        </w:rPr>
        <w:t>60</w: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 xml:space="preserve">Director since: </w:t>
      </w:r>
      <w:r>
        <w:rPr>
          <w:rFonts w:ascii="Arial" w:cs="Arial" w:eastAsia="Arial" w:hAnsi="Arial"/>
          <w:sz w:val="15"/>
          <w:szCs w:val="15"/>
          <w:color w:val="1A475F"/>
        </w:rPr>
        <w:t>2001</w: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Position:</w:t>
      </w:r>
    </w:p>
    <w:p>
      <w:pPr>
        <w:spacing w:after="0" w:line="36" w:lineRule="exact"/>
        <w:rPr>
          <w:sz w:val="20"/>
          <w:szCs w:val="20"/>
          <w:color w:val="auto"/>
        </w:rPr>
      </w:pPr>
    </w:p>
    <w:p>
      <w:pPr>
        <w:ind w:left="1320" w:hanging="284"/>
        <w:spacing w:after="0"/>
        <w:tabs>
          <w:tab w:leader="none" w:pos="1320" w:val="left"/>
        </w:tabs>
        <w:numPr>
          <w:ilvl w:val="0"/>
          <w:numId w:val="11"/>
        </w:numPr>
        <w:rPr>
          <w:rFonts w:ascii="Arial" w:cs="Arial" w:eastAsia="Arial" w:hAnsi="Arial"/>
          <w:sz w:val="15"/>
          <w:szCs w:val="15"/>
          <w:color w:val="1A475F"/>
        </w:rPr>
      </w:pPr>
      <w:r>
        <w:rPr>
          <w:rFonts w:ascii="Arial" w:cs="Arial" w:eastAsia="Arial" w:hAnsi="Arial"/>
          <w:sz w:val="15"/>
          <w:szCs w:val="15"/>
          <w:color w:val="1A475F"/>
        </w:rPr>
        <w:t>Chair of the Board</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b w:val="1"/>
          <w:bCs w:val="1"/>
          <w:i w:val="1"/>
          <w:iCs w:val="1"/>
          <w:color w:val="1A475F"/>
        </w:rPr>
        <w:t xml:space="preserve">Background: </w:t>
      </w:r>
      <w:r>
        <w:rPr>
          <w:rFonts w:ascii="Arial" w:cs="Arial" w:eastAsia="Arial" w:hAnsi="Arial"/>
          <w:sz w:val="15"/>
          <w:szCs w:val="15"/>
          <w:color w:val="1A475F"/>
        </w:rPr>
        <w:t>Mr. Lissy is the current Chair of the Board. He served as Executive Chairman of the</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Company from January 2018 through December 2019 and has served as a director of the Company since 2001. Mr. Lissy served as Chief Executive Officer of the Company from January 2002 to January 2018 and previously served as Chief Development Officer from July 1998 until January 2002 and as Executive Vice President from June 2000 to January 2002. Prior to joining Bright Horizons in 1997, Mr. Lissy served as senior vice president/general manager at Aetna U.S. Healthcare in the New England region. Mr. Lissy previously served on the board of Redfin Corporation (Nasdaq: RDFN) between 2018 and July 2025, serving as Chair from 2020 until July 2025. He also serves on the boards of private companies BeneLynk, Inc., Benchmark Senior Living, and HopSkipDrive. Mr. Lissy served on the Ithaca College board of trustees from 2011 to 2024, serving as the Chair from 2018 to 2024.</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A475F"/>
        </w:rPr>
        <w:t xml:space="preserve">Current public company directorships (including Bright Horizons): </w:t>
      </w:r>
      <w:r>
        <w:rPr>
          <w:rFonts w:ascii="Arial" w:cs="Arial" w:eastAsia="Arial" w:hAnsi="Arial"/>
          <w:sz w:val="15"/>
          <w:szCs w:val="15"/>
          <w:color w:val="1A475F"/>
        </w:rPr>
        <w:t>1</w:t>
      </w:r>
    </w:p>
    <w:p>
      <w:pPr>
        <w:spacing w:after="0" w:line="210"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b w:val="1"/>
          <w:bCs w:val="1"/>
          <w:i w:val="1"/>
          <w:iCs w:val="1"/>
          <w:color w:val="1A475F"/>
        </w:rPr>
        <w:t xml:space="preserve">Qualifications: </w:t>
      </w:r>
      <w:r>
        <w:rPr>
          <w:rFonts w:ascii="Arial" w:cs="Arial" w:eastAsia="Arial" w:hAnsi="Arial"/>
          <w:sz w:val="15"/>
          <w:szCs w:val="15"/>
          <w:color w:val="1A475F"/>
        </w:rPr>
        <w:t>Mr. Lissy’s deep industry experience including leadership and prior management of the</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Company and his leadership at many charitable, business services and educational organizations provide him with the considerable experience and breadth of management skills to serve as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137160</wp:posOffset>
            </wp:positionV>
            <wp:extent cx="6012815" cy="2197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12815" cy="2197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420"/>
            <w:col w:w="7320"/>
          </w:cols>
          <w:pgMar w:left="320" w:top="433" w:right="1279" w:bottom="1440" w:gutter="0" w:footer="0" w:header="0"/>
          <w:type w:val="continuous"/>
        </w:sectPr>
      </w:pPr>
    </w:p>
    <w:p>
      <w:pPr>
        <w:spacing w:after="0" w:line="59" w:lineRule="exact"/>
        <w:rPr>
          <w:sz w:val="20"/>
          <w:szCs w:val="20"/>
          <w:color w:val="auto"/>
        </w:rPr>
      </w:pPr>
    </w:p>
    <w:tbl>
      <w:tblPr>
        <w:tblLayout w:type="fixed"/>
        <w:tblInd w:w="104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Arial" w:cs="Arial" w:eastAsia="Arial" w:hAnsi="Arial"/>
                <w:sz w:val="15"/>
                <w:szCs w:val="15"/>
                <w:b w:val="1"/>
                <w:bCs w:val="1"/>
                <w:i w:val="1"/>
                <w:iCs w:val="1"/>
                <w:color w:val="1A475F"/>
              </w:rPr>
              <w:t xml:space="preserve">Background: </w:t>
            </w:r>
            <w:r>
              <w:rPr>
                <w:rFonts w:ascii="Arial" w:cs="Arial" w:eastAsia="Arial" w:hAnsi="Arial"/>
                <w:sz w:val="15"/>
                <w:szCs w:val="15"/>
                <w:color w:val="1A475F"/>
              </w:rPr>
              <w:t>Ms. Richie served as President of the Women’s National Basketball Association LLC</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Arial" w:cs="Arial" w:eastAsia="Arial" w:hAnsi="Arial"/>
                <w:sz w:val="15"/>
                <w:szCs w:val="15"/>
                <w:color w:val="1A475F"/>
              </w:rPr>
              <w:t>(“WNBA”), from May 2011 to November 2015. Prior to her appointment in 2011 to the WNBA, she served</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Arial" w:cs="Arial" w:eastAsia="Arial" w:hAnsi="Arial"/>
                <w:sz w:val="15"/>
                <w:szCs w:val="15"/>
                <w:color w:val="1A475F"/>
              </w:rPr>
              <w:t>as Chief Marketing Officer of Girl Scouts of the United States of America from 2008 to 2011. From 1984 to</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Arial" w:cs="Arial" w:eastAsia="Arial" w:hAnsi="Arial"/>
                <w:sz w:val="15"/>
                <w:szCs w:val="15"/>
                <w:color w:val="1A475F"/>
              </w:rPr>
              <w:t>2008, she held various positions at Ogilvy &amp; Mather, including Senior Partner and Executive Group Director</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Arial" w:cs="Arial" w:eastAsia="Arial" w:hAnsi="Arial"/>
                <w:sz w:val="15"/>
                <w:szCs w:val="15"/>
                <w:color w:val="1A475F"/>
              </w:rPr>
              <w:t>and founding member of the agency’s Diversity Advisory Board. Ms. Richie is a former trustee of the</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Arial" w:cs="Arial" w:eastAsia="Arial" w:hAnsi="Arial"/>
                <w:sz w:val="15"/>
                <w:szCs w:val="15"/>
                <w:color w:val="1A475F"/>
              </w:rPr>
              <w:t>Naismith Basketball Hall of Fame and Dartmouth College where she served as Chair of the board from</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Arial" w:cs="Arial" w:eastAsia="Arial" w:hAnsi="Arial"/>
                <w:sz w:val="15"/>
                <w:szCs w:val="15"/>
                <w:color w:val="1A475F"/>
              </w:rPr>
              <w:t>2017 to 2021. She currently serves as a director of Synchrony Financial (NYSE: SYF) and as chair of the</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Arial" w:cs="Arial" w:eastAsia="Arial" w:hAnsi="Arial"/>
                <w:sz w:val="15"/>
                <w:szCs w:val="15"/>
                <w:color w:val="1A475F"/>
              </w:rPr>
              <w:t>Management Development and Compensation Committee and a member of the Nominating and Corporate</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Arial" w:cs="Arial" w:eastAsia="Arial" w:hAnsi="Arial"/>
                <w:sz w:val="15"/>
                <w:szCs w:val="15"/>
                <w:color w:val="1A475F"/>
              </w:rPr>
              <w:t>Governance Committee. She also serves as a director of Hasbro, Inc. (Nasdaq: HAS) and as a member of</w:t>
            </w:r>
          </w:p>
        </w:tc>
        <w:tc>
          <w:tcPr>
            <w:tcW w:w="0" w:type="dxa"/>
            <w:vAlign w:val="bottom"/>
          </w:tcPr>
          <w:p>
            <w:pPr>
              <w:spacing w:after="0"/>
              <w:rPr>
                <w:sz w:val="1"/>
                <w:szCs w:val="1"/>
                <w:color w:val="auto"/>
              </w:rPr>
            </w:pPr>
          </w:p>
        </w:tc>
      </w:tr>
      <w:tr>
        <w:trPr>
          <w:trHeight w:val="188"/>
        </w:trPr>
        <w:tc>
          <w:tcPr>
            <w:tcW w:w="1760" w:type="dxa"/>
            <w:vAlign w:val="bottom"/>
            <w:gridSpan w:val="2"/>
          </w:tcPr>
          <w:p>
            <w:pPr>
              <w:spacing w:after="0"/>
              <w:rPr>
                <w:sz w:val="20"/>
                <w:szCs w:val="20"/>
                <w:color w:val="auto"/>
              </w:rPr>
            </w:pPr>
            <w:r>
              <w:rPr>
                <w:rFonts w:ascii="Arial" w:cs="Arial" w:eastAsia="Arial" w:hAnsi="Arial"/>
                <w:sz w:val="15"/>
                <w:szCs w:val="15"/>
                <w:b w:val="1"/>
                <w:bCs w:val="1"/>
                <w:color w:val="1A475F"/>
              </w:rPr>
              <w:t>Laurel J. Richie</w:t>
            </w:r>
          </w:p>
        </w:tc>
        <w:tc>
          <w:tcPr>
            <w:tcW w:w="7500" w:type="dxa"/>
            <w:vAlign w:val="bottom"/>
          </w:tcPr>
          <w:p>
            <w:pPr>
              <w:ind w:left="180"/>
              <w:spacing w:after="0"/>
              <w:rPr>
                <w:sz w:val="20"/>
                <w:szCs w:val="20"/>
                <w:color w:val="auto"/>
              </w:rPr>
            </w:pPr>
            <w:r>
              <w:rPr>
                <w:rFonts w:ascii="Arial" w:cs="Arial" w:eastAsia="Arial" w:hAnsi="Arial"/>
                <w:sz w:val="15"/>
                <w:szCs w:val="15"/>
                <w:color w:val="1A475F"/>
              </w:rPr>
              <w:t>their Compensation Committee and Nominating, Governance and Social Responsibility Committee. She</w:t>
            </w:r>
          </w:p>
        </w:tc>
        <w:tc>
          <w:tcPr>
            <w:tcW w:w="0" w:type="dxa"/>
            <w:vAlign w:val="bottom"/>
          </w:tcPr>
          <w:p>
            <w:pPr>
              <w:spacing w:after="0"/>
              <w:rPr>
                <w:sz w:val="1"/>
                <w:szCs w:val="1"/>
                <w:color w:val="auto"/>
              </w:rPr>
            </w:pPr>
          </w:p>
        </w:tc>
      </w:tr>
      <w:tr>
        <w:trPr>
          <w:trHeight w:val="160"/>
        </w:trPr>
        <w:tc>
          <w:tcPr>
            <w:tcW w:w="1760" w:type="dxa"/>
            <w:vAlign w:val="bottom"/>
            <w:gridSpan w:val="2"/>
            <w:vMerge w:val="restart"/>
          </w:tcPr>
          <w:p>
            <w:pPr>
              <w:spacing w:after="0"/>
              <w:rPr>
                <w:sz w:val="20"/>
                <w:szCs w:val="20"/>
                <w:color w:val="auto"/>
              </w:rPr>
            </w:pPr>
            <w:r>
              <w:rPr>
                <w:rFonts w:ascii="Arial" w:cs="Arial" w:eastAsia="Arial" w:hAnsi="Arial"/>
                <w:sz w:val="15"/>
                <w:szCs w:val="15"/>
                <w:b w:val="1"/>
                <w:bCs w:val="1"/>
                <w:color w:val="1A475F"/>
              </w:rPr>
              <w:t xml:space="preserve">Age: </w:t>
            </w:r>
            <w:r>
              <w:rPr>
                <w:rFonts w:ascii="Arial" w:cs="Arial" w:eastAsia="Arial" w:hAnsi="Arial"/>
                <w:sz w:val="15"/>
                <w:szCs w:val="15"/>
                <w:color w:val="1A475F"/>
              </w:rPr>
              <w:t>67</w:t>
            </w:r>
          </w:p>
        </w:tc>
        <w:tc>
          <w:tcPr>
            <w:tcW w:w="7500" w:type="dxa"/>
            <w:vAlign w:val="bottom"/>
          </w:tcPr>
          <w:p>
            <w:pPr>
              <w:ind w:left="180"/>
              <w:spacing w:after="0" w:line="160" w:lineRule="exact"/>
              <w:rPr>
                <w:sz w:val="20"/>
                <w:szCs w:val="20"/>
                <w:color w:val="auto"/>
              </w:rPr>
            </w:pPr>
            <w:r>
              <w:rPr>
                <w:rFonts w:ascii="Arial" w:cs="Arial" w:eastAsia="Arial" w:hAnsi="Arial"/>
                <w:sz w:val="15"/>
                <w:szCs w:val="15"/>
                <w:color w:val="1A475F"/>
              </w:rPr>
              <w:t>serves as a leadership consultant to Fortune 100 C-suite executives on matters of personal leadership and</w:t>
            </w:r>
          </w:p>
        </w:tc>
        <w:tc>
          <w:tcPr>
            <w:tcW w:w="0" w:type="dxa"/>
            <w:vAlign w:val="bottom"/>
          </w:tcPr>
          <w:p>
            <w:pPr>
              <w:spacing w:after="0"/>
              <w:rPr>
                <w:sz w:val="1"/>
                <w:szCs w:val="1"/>
                <w:color w:val="auto"/>
              </w:rPr>
            </w:pPr>
          </w:p>
        </w:tc>
      </w:tr>
      <w:tr>
        <w:trPr>
          <w:trHeight w:val="102"/>
        </w:trPr>
        <w:tc>
          <w:tcPr>
            <w:tcW w:w="1760" w:type="dxa"/>
            <w:vAlign w:val="bottom"/>
            <w:gridSpan w:val="2"/>
            <w:vMerge w:val="continue"/>
          </w:tcPr>
          <w:p>
            <w:pPr>
              <w:spacing w:after="0"/>
              <w:rPr>
                <w:sz w:val="8"/>
                <w:szCs w:val="8"/>
                <w:color w:val="auto"/>
              </w:rPr>
            </w:pPr>
          </w:p>
        </w:tc>
        <w:tc>
          <w:tcPr>
            <w:tcW w:w="7500" w:type="dxa"/>
            <w:vAlign w:val="bottom"/>
            <w:vMerge w:val="restart"/>
          </w:tcPr>
          <w:p>
            <w:pPr>
              <w:ind w:left="180"/>
              <w:spacing w:after="0"/>
              <w:rPr>
                <w:sz w:val="20"/>
                <w:szCs w:val="20"/>
                <w:color w:val="auto"/>
              </w:rPr>
            </w:pPr>
            <w:r>
              <w:rPr>
                <w:rFonts w:ascii="Arial" w:cs="Arial" w:eastAsia="Arial" w:hAnsi="Arial"/>
                <w:sz w:val="15"/>
                <w:szCs w:val="15"/>
                <w:color w:val="1A475F"/>
              </w:rPr>
              <w:t>corporate culture.</w:t>
            </w:r>
          </w:p>
        </w:tc>
        <w:tc>
          <w:tcPr>
            <w:tcW w:w="0" w:type="dxa"/>
            <w:vAlign w:val="bottom"/>
          </w:tcPr>
          <w:p>
            <w:pPr>
              <w:spacing w:after="0"/>
              <w:rPr>
                <w:sz w:val="1"/>
                <w:szCs w:val="1"/>
                <w:color w:val="auto"/>
              </w:rPr>
            </w:pPr>
          </w:p>
        </w:tc>
      </w:tr>
      <w:tr>
        <w:trPr>
          <w:trHeight w:val="99"/>
        </w:trPr>
        <w:tc>
          <w:tcPr>
            <w:tcW w:w="1760" w:type="dxa"/>
            <w:vAlign w:val="bottom"/>
            <w:gridSpan w:val="2"/>
            <w:vMerge w:val="restart"/>
          </w:tcPr>
          <w:p>
            <w:pPr>
              <w:spacing w:after="0"/>
              <w:rPr>
                <w:sz w:val="20"/>
                <w:szCs w:val="20"/>
                <w:color w:val="auto"/>
              </w:rPr>
            </w:pPr>
            <w:r>
              <w:rPr>
                <w:rFonts w:ascii="Arial" w:cs="Arial" w:eastAsia="Arial" w:hAnsi="Arial"/>
                <w:sz w:val="15"/>
                <w:szCs w:val="15"/>
                <w:b w:val="1"/>
                <w:bCs w:val="1"/>
                <w:color w:val="1A475F"/>
              </w:rPr>
              <w:t xml:space="preserve">Director since: </w:t>
            </w:r>
            <w:r>
              <w:rPr>
                <w:rFonts w:ascii="Arial" w:cs="Arial" w:eastAsia="Arial" w:hAnsi="Arial"/>
                <w:sz w:val="15"/>
                <w:szCs w:val="15"/>
                <w:color w:val="1A475F"/>
              </w:rPr>
              <w:t>2019</w:t>
            </w:r>
          </w:p>
        </w:tc>
        <w:tc>
          <w:tcPr>
            <w:tcW w:w="7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760" w:type="dxa"/>
            <w:vAlign w:val="bottom"/>
            <w:gridSpan w:val="2"/>
            <w:vMerge w:val="continue"/>
          </w:tcPr>
          <w:p>
            <w:pPr>
              <w:spacing w:after="0"/>
              <w:rPr>
                <w:sz w:val="9"/>
                <w:szCs w:val="9"/>
                <w:color w:val="auto"/>
              </w:rPr>
            </w:pPr>
          </w:p>
        </w:tc>
        <w:tc>
          <w:tcPr>
            <w:tcW w:w="7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60" w:type="dxa"/>
            <w:vAlign w:val="bottom"/>
            <w:gridSpan w:val="2"/>
          </w:tcPr>
          <w:p>
            <w:pPr>
              <w:spacing w:after="0"/>
              <w:rPr>
                <w:sz w:val="20"/>
                <w:szCs w:val="20"/>
                <w:color w:val="auto"/>
              </w:rPr>
            </w:pPr>
            <w:r>
              <w:rPr>
                <w:rFonts w:ascii="Arial" w:cs="Arial" w:eastAsia="Arial" w:hAnsi="Arial"/>
                <w:sz w:val="15"/>
                <w:szCs w:val="15"/>
                <w:b w:val="1"/>
                <w:bCs w:val="1"/>
                <w:color w:val="1A475F"/>
              </w:rPr>
              <w:t>Committees:</w:t>
            </w:r>
          </w:p>
        </w:tc>
        <w:tc>
          <w:tcPr>
            <w:tcW w:w="7500" w:type="dxa"/>
            <w:vAlign w:val="bottom"/>
            <w:vMerge w:val="restart"/>
          </w:tcPr>
          <w:p>
            <w:pPr>
              <w:ind w:left="180"/>
              <w:spacing w:after="0"/>
              <w:rPr>
                <w:sz w:val="20"/>
                <w:szCs w:val="20"/>
                <w:color w:val="auto"/>
              </w:rPr>
            </w:pPr>
            <w:r>
              <w:rPr>
                <w:rFonts w:ascii="Arial" w:cs="Arial" w:eastAsia="Arial" w:hAnsi="Arial"/>
                <w:sz w:val="15"/>
                <w:szCs w:val="15"/>
                <w:b w:val="1"/>
                <w:bCs w:val="1"/>
                <w:i w:val="1"/>
                <w:iCs w:val="1"/>
                <w:color w:val="1A475F"/>
              </w:rPr>
              <w:t xml:space="preserve">Current public company directorships (including Bright Horizons): </w:t>
            </w:r>
            <w:r>
              <w:rPr>
                <w:rFonts w:ascii="Arial" w:cs="Arial" w:eastAsia="Arial" w:hAnsi="Arial"/>
                <w:sz w:val="15"/>
                <w:szCs w:val="15"/>
                <w:color w:val="1A475F"/>
              </w:rPr>
              <w:t>3</w:t>
            </w:r>
          </w:p>
        </w:tc>
        <w:tc>
          <w:tcPr>
            <w:tcW w:w="0" w:type="dxa"/>
            <w:vAlign w:val="bottom"/>
          </w:tcPr>
          <w:p>
            <w:pPr>
              <w:spacing w:after="0"/>
              <w:rPr>
                <w:sz w:val="1"/>
                <w:szCs w:val="1"/>
                <w:color w:val="auto"/>
              </w:rPr>
            </w:pPr>
          </w:p>
        </w:tc>
      </w:tr>
      <w:tr>
        <w:trPr>
          <w:trHeight w:val="71"/>
        </w:trPr>
        <w:tc>
          <w:tcPr>
            <w:tcW w:w="160" w:type="dxa"/>
            <w:vAlign w:val="bottom"/>
            <w:vMerge w:val="restart"/>
          </w:tcPr>
          <w:p>
            <w:pPr>
              <w:spacing w:after="0"/>
              <w:rPr>
                <w:sz w:val="20"/>
                <w:szCs w:val="20"/>
                <w:color w:val="auto"/>
              </w:rPr>
            </w:pPr>
            <w:r>
              <w:rPr>
                <w:rFonts w:ascii="Arial" w:cs="Arial" w:eastAsia="Arial" w:hAnsi="Arial"/>
                <w:sz w:val="15"/>
                <w:szCs w:val="15"/>
                <w:color w:val="1A475F"/>
              </w:rPr>
              <w:t>•</w:t>
            </w:r>
          </w:p>
        </w:tc>
        <w:tc>
          <w:tcPr>
            <w:tcW w:w="1600" w:type="dxa"/>
            <w:vAlign w:val="bottom"/>
            <w:vMerge w:val="restart"/>
          </w:tcPr>
          <w:p>
            <w:pPr>
              <w:ind w:left="120"/>
              <w:spacing w:after="0"/>
              <w:rPr>
                <w:sz w:val="20"/>
                <w:szCs w:val="20"/>
                <w:color w:val="auto"/>
              </w:rPr>
            </w:pPr>
            <w:r>
              <w:rPr>
                <w:rFonts w:ascii="Arial" w:cs="Arial" w:eastAsia="Arial" w:hAnsi="Arial"/>
                <w:sz w:val="15"/>
                <w:szCs w:val="15"/>
                <w:color w:val="1A475F"/>
              </w:rPr>
              <w:t>Nominating and</w:t>
            </w:r>
          </w:p>
        </w:tc>
        <w:tc>
          <w:tcPr>
            <w:tcW w:w="7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7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600" w:type="dxa"/>
            <w:vAlign w:val="bottom"/>
          </w:tcPr>
          <w:p>
            <w:pPr>
              <w:ind w:left="120"/>
              <w:spacing w:after="0"/>
              <w:rPr>
                <w:sz w:val="20"/>
                <w:szCs w:val="20"/>
                <w:color w:val="auto"/>
              </w:rPr>
            </w:pPr>
            <w:r>
              <w:rPr>
                <w:rFonts w:ascii="Arial" w:cs="Arial" w:eastAsia="Arial" w:hAnsi="Arial"/>
                <w:sz w:val="15"/>
                <w:szCs w:val="15"/>
                <w:color w:val="1A475F"/>
              </w:rPr>
              <w:t>Corporate</w:t>
            </w:r>
          </w:p>
        </w:tc>
        <w:tc>
          <w:tcPr>
            <w:tcW w:w="7500" w:type="dxa"/>
            <w:vAlign w:val="bottom"/>
            <w:vMerge w:val="restart"/>
          </w:tcPr>
          <w:p>
            <w:pPr>
              <w:ind w:left="180"/>
              <w:spacing w:after="0"/>
              <w:rPr>
                <w:sz w:val="20"/>
                <w:szCs w:val="20"/>
                <w:color w:val="auto"/>
              </w:rPr>
            </w:pPr>
            <w:r>
              <w:rPr>
                <w:rFonts w:ascii="Arial" w:cs="Arial" w:eastAsia="Arial" w:hAnsi="Arial"/>
                <w:sz w:val="15"/>
                <w:szCs w:val="15"/>
                <w:b w:val="1"/>
                <w:bCs w:val="1"/>
                <w:i w:val="1"/>
                <w:iCs w:val="1"/>
                <w:color w:val="1A475F"/>
              </w:rPr>
              <w:t xml:space="preserve">Qualifications: </w:t>
            </w:r>
            <w:r>
              <w:rPr>
                <w:rFonts w:ascii="Arial" w:cs="Arial" w:eastAsia="Arial" w:hAnsi="Arial"/>
                <w:sz w:val="15"/>
                <w:szCs w:val="15"/>
                <w:color w:val="1A475F"/>
              </w:rPr>
              <w:t>Ms. Richie’s executive management and leadership experience, her strategic and</w:t>
            </w:r>
          </w:p>
        </w:tc>
        <w:tc>
          <w:tcPr>
            <w:tcW w:w="0" w:type="dxa"/>
            <w:vAlign w:val="bottom"/>
          </w:tcPr>
          <w:p>
            <w:pPr>
              <w:spacing w:after="0"/>
              <w:rPr>
                <w:sz w:val="1"/>
                <w:szCs w:val="1"/>
                <w:color w:val="auto"/>
              </w:rPr>
            </w:pPr>
          </w:p>
        </w:tc>
      </w:tr>
      <w:tr>
        <w:trPr>
          <w:trHeight w:val="69"/>
        </w:trPr>
        <w:tc>
          <w:tcPr>
            <w:tcW w:w="160" w:type="dxa"/>
            <w:vAlign w:val="bottom"/>
          </w:tcPr>
          <w:p>
            <w:pPr>
              <w:spacing w:after="0"/>
              <w:rPr>
                <w:sz w:val="6"/>
                <w:szCs w:val="6"/>
                <w:color w:val="auto"/>
              </w:rPr>
            </w:pPr>
          </w:p>
        </w:tc>
        <w:tc>
          <w:tcPr>
            <w:tcW w:w="1600" w:type="dxa"/>
            <w:vAlign w:val="bottom"/>
            <w:vMerge w:val="restart"/>
          </w:tcPr>
          <w:p>
            <w:pPr>
              <w:ind w:left="120"/>
              <w:spacing w:after="0"/>
              <w:rPr>
                <w:sz w:val="20"/>
                <w:szCs w:val="20"/>
                <w:color w:val="auto"/>
              </w:rPr>
            </w:pPr>
            <w:r>
              <w:rPr>
                <w:rFonts w:ascii="Arial" w:cs="Arial" w:eastAsia="Arial" w:hAnsi="Arial"/>
                <w:sz w:val="15"/>
                <w:szCs w:val="15"/>
                <w:color w:val="1A475F"/>
              </w:rPr>
              <w:t>Governance, Chair</w:t>
            </w:r>
          </w:p>
        </w:tc>
        <w:tc>
          <w:tcPr>
            <w:tcW w:w="7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7500" w:type="dxa"/>
            <w:vAlign w:val="bottom"/>
            <w:vMerge w:val="restart"/>
          </w:tcPr>
          <w:p>
            <w:pPr>
              <w:ind w:left="180"/>
              <w:spacing w:after="0"/>
              <w:rPr>
                <w:sz w:val="20"/>
                <w:szCs w:val="20"/>
                <w:color w:val="auto"/>
              </w:rPr>
            </w:pPr>
            <w:r>
              <w:rPr>
                <w:rFonts w:ascii="Arial" w:cs="Arial" w:eastAsia="Arial" w:hAnsi="Arial"/>
                <w:sz w:val="15"/>
                <w:szCs w:val="15"/>
                <w:color w:val="1A475F"/>
              </w:rPr>
              <w:t>operational expertise, her considerable background in communications, brand development and marketing</w:t>
            </w:r>
          </w:p>
        </w:tc>
        <w:tc>
          <w:tcPr>
            <w:tcW w:w="0" w:type="dxa"/>
            <w:vAlign w:val="bottom"/>
          </w:tcPr>
          <w:p>
            <w:pPr>
              <w:spacing w:after="0"/>
              <w:rPr>
                <w:sz w:val="1"/>
                <w:szCs w:val="1"/>
                <w:color w:val="auto"/>
              </w:rPr>
            </w:pPr>
          </w:p>
        </w:tc>
      </w:tr>
      <w:tr>
        <w:trPr>
          <w:trHeight w:val="69"/>
        </w:trPr>
        <w:tc>
          <w:tcPr>
            <w:tcW w:w="160" w:type="dxa"/>
            <w:vAlign w:val="bottom"/>
            <w:vMerge w:val="restart"/>
          </w:tcPr>
          <w:p>
            <w:pPr>
              <w:spacing w:after="0"/>
              <w:rPr>
                <w:sz w:val="20"/>
                <w:szCs w:val="20"/>
                <w:color w:val="auto"/>
              </w:rPr>
            </w:pPr>
            <w:r>
              <w:rPr>
                <w:rFonts w:ascii="Arial" w:cs="Arial" w:eastAsia="Arial" w:hAnsi="Arial"/>
                <w:sz w:val="15"/>
                <w:szCs w:val="15"/>
                <w:color w:val="1A475F"/>
              </w:rPr>
              <w:t>•</w:t>
            </w:r>
          </w:p>
        </w:tc>
        <w:tc>
          <w:tcPr>
            <w:tcW w:w="1600" w:type="dxa"/>
            <w:vAlign w:val="bottom"/>
            <w:vMerge w:val="restart"/>
          </w:tcPr>
          <w:p>
            <w:pPr>
              <w:ind w:left="120"/>
              <w:spacing w:after="0"/>
              <w:rPr>
                <w:sz w:val="20"/>
                <w:szCs w:val="20"/>
                <w:color w:val="auto"/>
              </w:rPr>
            </w:pPr>
            <w:r>
              <w:rPr>
                <w:rFonts w:ascii="Arial" w:cs="Arial" w:eastAsia="Arial" w:hAnsi="Arial"/>
                <w:sz w:val="15"/>
                <w:szCs w:val="15"/>
                <w:color w:val="1A475F"/>
              </w:rPr>
              <w:t>Audit</w:t>
            </w:r>
          </w:p>
        </w:tc>
        <w:tc>
          <w:tcPr>
            <w:tcW w:w="7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6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7500" w:type="dxa"/>
            <w:vAlign w:val="bottom"/>
            <w:vMerge w:val="restart"/>
          </w:tcPr>
          <w:p>
            <w:pPr>
              <w:ind w:left="180"/>
              <w:spacing w:after="0"/>
              <w:rPr>
                <w:sz w:val="20"/>
                <w:szCs w:val="20"/>
                <w:color w:val="auto"/>
              </w:rPr>
            </w:pPr>
            <w:r>
              <w:rPr>
                <w:rFonts w:ascii="Arial" w:cs="Arial" w:eastAsia="Arial" w:hAnsi="Arial"/>
                <w:sz w:val="15"/>
                <w:szCs w:val="15"/>
                <w:color w:val="1A475F"/>
              </w:rPr>
              <w:t>and her experience serving on public company boards and governance committees make her a key</w:t>
            </w: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7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2980"/>
        <w:spacing w:after="0"/>
        <w:rPr>
          <w:sz w:val="20"/>
          <w:szCs w:val="20"/>
          <w:color w:val="auto"/>
        </w:rPr>
      </w:pPr>
      <w:r>
        <w:rPr>
          <w:rFonts w:ascii="Arial" w:cs="Arial" w:eastAsia="Arial" w:hAnsi="Arial"/>
          <w:sz w:val="15"/>
          <w:szCs w:val="15"/>
          <w:color w:val="1A475F"/>
        </w:rPr>
        <w:t>member of the Board.</w:t>
      </w:r>
    </w:p>
    <w:p>
      <w:pPr>
        <w:spacing w:after="0" w:line="147" w:lineRule="exact"/>
        <w:rPr>
          <w:sz w:val="20"/>
          <w:szCs w:val="20"/>
          <w:color w:val="auto"/>
        </w:rPr>
      </w:pPr>
    </w:p>
    <w:p>
      <w:pPr>
        <w:ind w:left="1200" w:hanging="299"/>
        <w:spacing w:after="0"/>
        <w:tabs>
          <w:tab w:leader="none" w:pos="1200" w:val="left"/>
        </w:tabs>
        <w:numPr>
          <w:ilvl w:val="0"/>
          <w:numId w:val="12"/>
        </w:numPr>
        <w:rPr>
          <w:rFonts w:ascii="Arial" w:cs="Arial" w:eastAsia="Arial" w:hAnsi="Arial"/>
          <w:sz w:val="15"/>
          <w:szCs w:val="15"/>
          <w:b w:val="1"/>
          <w:bCs w:val="1"/>
          <w:color w:val="1A475F"/>
        </w:rPr>
      </w:pPr>
      <w:r>
        <w:rPr>
          <w:rFonts w:ascii="Arial" w:cs="Arial" w:eastAsia="Arial" w:hAnsi="Arial"/>
          <w:sz w:val="15"/>
          <w:szCs w:val="15"/>
          <w:b w:val="1"/>
          <w:bCs w:val="1"/>
          <w:color w:val="1A475F"/>
        </w:rPr>
        <w:t>|    Bright Horizons </w:t>
      </w:r>
    </w:p>
    <w:p>
      <w:pPr>
        <w:sectPr>
          <w:pgSz w:w="11900" w:h="16838" w:orient="portrait"/>
          <w:cols w:equalWidth="0" w:num="1">
            <w:col w:w="10300"/>
          </w:cols>
          <w:pgMar w:left="320" w:top="433" w:right="12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78" w:lineRule="exact"/>
        <w:rPr>
          <w:sz w:val="20"/>
          <w:szCs w:val="20"/>
          <w:color w:val="auto"/>
        </w:rPr>
      </w:pPr>
    </w:p>
    <w:tbl>
      <w:tblPr>
        <w:tblLayout w:type="fixed"/>
        <w:tblInd w:w="910" w:type="dxa"/>
        <w:tblCellMar>
          <w:top w:w="0" w:type="dxa"/>
          <w:left w:w="0" w:type="dxa"/>
          <w:bottom w:w="0" w:type="dxa"/>
          <w:right w:w="0" w:type="dxa"/>
        </w:tblCellMar>
      </w:tblPr>
      <w:tr>
        <w:trPr>
          <w:trHeight w:val="217"/>
        </w:trPr>
        <w:tc>
          <w:tcPr>
            <w:tcW w:w="1840" w:type="dxa"/>
            <w:vAlign w:val="bottom"/>
            <w:tcBorders>
              <w:top w:val="single" w:sz="8" w:color="1A475F"/>
              <w:left w:val="single" w:sz="8" w:color="1A475F"/>
            </w:tcBorders>
          </w:tcPr>
          <w:p>
            <w:pPr>
              <w:spacing w:after="0"/>
              <w:rPr>
                <w:sz w:val="18"/>
                <w:szCs w:val="18"/>
                <w:color w:val="auto"/>
              </w:rPr>
            </w:pPr>
          </w:p>
        </w:tc>
        <w:tc>
          <w:tcPr>
            <w:tcW w:w="7620" w:type="dxa"/>
            <w:vAlign w:val="bottom"/>
            <w:tcBorders>
              <w:top w:val="single" w:sz="8" w:color="1A475F"/>
              <w:right w:val="single" w:sz="8" w:color="1A475F"/>
            </w:tcBorders>
          </w:tcPr>
          <w:p>
            <w:pPr>
              <w:ind w:left="240"/>
              <w:spacing w:after="0"/>
              <w:rPr>
                <w:sz w:val="20"/>
                <w:szCs w:val="20"/>
                <w:color w:val="auto"/>
              </w:rPr>
            </w:pPr>
            <w:r>
              <w:rPr>
                <w:rFonts w:ascii="Arial" w:cs="Arial" w:eastAsia="Arial" w:hAnsi="Arial"/>
                <w:sz w:val="15"/>
                <w:szCs w:val="15"/>
                <w:b w:val="1"/>
                <w:bCs w:val="1"/>
                <w:i w:val="1"/>
                <w:iCs w:val="1"/>
                <w:color w:val="1A475F"/>
              </w:rPr>
              <w:t xml:space="preserve">Background: </w:t>
            </w:r>
            <w:r>
              <w:rPr>
                <w:rFonts w:ascii="Arial" w:cs="Arial" w:eastAsia="Arial" w:hAnsi="Arial"/>
                <w:sz w:val="15"/>
                <w:szCs w:val="15"/>
                <w:color w:val="1A475F"/>
              </w:rPr>
              <w:t>Ms. Schulz currently serves as Chief Executive Officer and a member of the board of</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directors of Lyra Health, Inc. Prior to joining Lyra in January 2025, Ms. Schulz served as Chief Executive</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Officer of Experian North America between April 2022 and January 2025 where she also served on the</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Operating Committee. Prior to serving as Chief Executive Officer of Experian North America, she served as</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Group President for the North American Health, Automotive, and Data Quality (EDQ) businesses.</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Ms. Schulz initially joined Experian in November 2013 and served as global lead for Women in Experian.</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Prior to joining Experian, Ms. Schulz was Senior Vice President of global product strategy, innovations and</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e-commerce for Visa, Inc. Previous roles include managing Visa’s global consumer credit products,</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strategy for Visa’s processing business and leading the technology organization’s strategic planning</w:t>
            </w:r>
          </w:p>
        </w:tc>
        <w:tc>
          <w:tcPr>
            <w:tcW w:w="0" w:type="dxa"/>
            <w:vAlign w:val="bottom"/>
          </w:tcPr>
          <w:p>
            <w:pPr>
              <w:spacing w:after="0"/>
              <w:rPr>
                <w:sz w:val="1"/>
                <w:szCs w:val="1"/>
                <w:color w:val="auto"/>
              </w:rPr>
            </w:pPr>
          </w:p>
        </w:tc>
      </w:tr>
      <w:tr>
        <w:trPr>
          <w:trHeight w:val="241"/>
        </w:trPr>
        <w:tc>
          <w:tcPr>
            <w:tcW w:w="1840" w:type="dxa"/>
            <w:vAlign w:val="bottom"/>
            <w:tcBorders>
              <w:left w:val="single" w:sz="8" w:color="1A475F"/>
            </w:tcBorders>
          </w:tcPr>
          <w:p>
            <w:pPr>
              <w:ind w:left="140"/>
              <w:spacing w:after="0"/>
              <w:rPr>
                <w:sz w:val="20"/>
                <w:szCs w:val="20"/>
                <w:color w:val="auto"/>
              </w:rPr>
            </w:pPr>
            <w:r>
              <w:rPr>
                <w:rFonts w:ascii="Arial" w:cs="Arial" w:eastAsia="Arial" w:hAnsi="Arial"/>
                <w:sz w:val="15"/>
                <w:szCs w:val="15"/>
                <w:b w:val="1"/>
                <w:bCs w:val="1"/>
                <w:color w:val="1A475F"/>
              </w:rPr>
              <w:t>Jennifer Schulz</w:t>
            </w: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function. Ms. Schulz previously served as a director of Leaf Group Ltd. (NYSE: LEAF) until June 2021.</w:t>
            </w:r>
          </w:p>
        </w:tc>
        <w:tc>
          <w:tcPr>
            <w:tcW w:w="0" w:type="dxa"/>
            <w:vAlign w:val="bottom"/>
          </w:tcPr>
          <w:p>
            <w:pPr>
              <w:spacing w:after="0"/>
              <w:rPr>
                <w:sz w:val="1"/>
                <w:szCs w:val="1"/>
                <w:color w:val="auto"/>
              </w:rPr>
            </w:pPr>
          </w:p>
        </w:tc>
      </w:tr>
      <w:tr>
        <w:trPr>
          <w:trHeight w:val="208"/>
        </w:trPr>
        <w:tc>
          <w:tcPr>
            <w:tcW w:w="1840" w:type="dxa"/>
            <w:vAlign w:val="bottom"/>
            <w:tcBorders>
              <w:left w:val="single" w:sz="8" w:color="1A475F"/>
            </w:tcBorders>
          </w:tcPr>
          <w:p>
            <w:pPr>
              <w:ind w:left="140"/>
              <w:spacing w:after="0"/>
              <w:rPr>
                <w:sz w:val="20"/>
                <w:szCs w:val="20"/>
                <w:color w:val="auto"/>
              </w:rPr>
            </w:pPr>
            <w:r>
              <w:rPr>
                <w:rFonts w:ascii="Arial" w:cs="Arial" w:eastAsia="Arial" w:hAnsi="Arial"/>
                <w:sz w:val="15"/>
                <w:szCs w:val="15"/>
                <w:b w:val="1"/>
                <w:bCs w:val="1"/>
                <w:color w:val="1A475F"/>
              </w:rPr>
              <w:t xml:space="preserve">Age: </w:t>
            </w:r>
            <w:r>
              <w:rPr>
                <w:rFonts w:ascii="Arial" w:cs="Arial" w:eastAsia="Arial" w:hAnsi="Arial"/>
                <w:sz w:val="15"/>
                <w:szCs w:val="15"/>
                <w:color w:val="1A475F"/>
              </w:rPr>
              <w:t>55</w:t>
            </w:r>
          </w:p>
        </w:tc>
        <w:tc>
          <w:tcPr>
            <w:tcW w:w="7620" w:type="dxa"/>
            <w:vAlign w:val="bottom"/>
            <w:tcBorders>
              <w:right w:val="single" w:sz="8" w:color="1A475F"/>
            </w:tcBorders>
            <w:vMerge w:val="restart"/>
          </w:tcPr>
          <w:p>
            <w:pPr>
              <w:ind w:left="240"/>
              <w:spacing w:after="0"/>
              <w:rPr>
                <w:sz w:val="20"/>
                <w:szCs w:val="20"/>
                <w:color w:val="auto"/>
              </w:rPr>
            </w:pPr>
            <w:r>
              <w:rPr>
                <w:rFonts w:ascii="Arial" w:cs="Arial" w:eastAsia="Arial" w:hAnsi="Arial"/>
                <w:sz w:val="15"/>
                <w:szCs w:val="15"/>
                <w:b w:val="1"/>
                <w:bCs w:val="1"/>
                <w:i w:val="1"/>
                <w:iCs w:val="1"/>
                <w:color w:val="1A475F"/>
              </w:rPr>
              <w:t xml:space="preserve">Current public company directorships (including Bright Horizons): </w:t>
            </w:r>
            <w:r>
              <w:rPr>
                <w:rFonts w:ascii="Arial" w:cs="Arial" w:eastAsia="Arial" w:hAnsi="Arial"/>
                <w:sz w:val="15"/>
                <w:szCs w:val="15"/>
                <w:color w:val="1A475F"/>
              </w:rPr>
              <w:t>1</w:t>
            </w:r>
          </w:p>
        </w:tc>
        <w:tc>
          <w:tcPr>
            <w:tcW w:w="0" w:type="dxa"/>
            <w:vAlign w:val="bottom"/>
          </w:tcPr>
          <w:p>
            <w:pPr>
              <w:spacing w:after="0"/>
              <w:rPr>
                <w:sz w:val="1"/>
                <w:szCs w:val="1"/>
                <w:color w:val="auto"/>
              </w:rPr>
            </w:pPr>
          </w:p>
        </w:tc>
      </w:tr>
      <w:tr>
        <w:trPr>
          <w:trHeight w:val="142"/>
        </w:trPr>
        <w:tc>
          <w:tcPr>
            <w:tcW w:w="1840" w:type="dxa"/>
            <w:vAlign w:val="bottom"/>
            <w:tcBorders>
              <w:left w:val="single" w:sz="8" w:color="1A475F"/>
            </w:tcBorders>
            <w:vMerge w:val="restart"/>
          </w:tcPr>
          <w:p>
            <w:pPr>
              <w:ind w:left="140"/>
              <w:spacing w:after="0"/>
              <w:rPr>
                <w:sz w:val="20"/>
                <w:szCs w:val="20"/>
                <w:color w:val="auto"/>
              </w:rPr>
            </w:pPr>
            <w:r>
              <w:rPr>
                <w:rFonts w:ascii="Arial" w:cs="Arial" w:eastAsia="Arial" w:hAnsi="Arial"/>
                <w:sz w:val="15"/>
                <w:szCs w:val="15"/>
                <w:b w:val="1"/>
                <w:bCs w:val="1"/>
                <w:color w:val="1A475F"/>
              </w:rPr>
              <w:t xml:space="preserve">Director since: </w:t>
            </w:r>
            <w:r>
              <w:rPr>
                <w:rFonts w:ascii="Arial" w:cs="Arial" w:eastAsia="Arial" w:hAnsi="Arial"/>
                <w:sz w:val="15"/>
                <w:szCs w:val="15"/>
                <w:color w:val="1A475F"/>
              </w:rPr>
              <w:t>2024</w:t>
            </w:r>
          </w:p>
        </w:tc>
        <w:tc>
          <w:tcPr>
            <w:tcW w:w="7620" w:type="dxa"/>
            <w:vAlign w:val="bottom"/>
            <w:tcBorders>
              <w:right w:val="single" w:sz="8" w:color="1A475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840" w:type="dxa"/>
            <w:vAlign w:val="bottom"/>
            <w:tcBorders>
              <w:left w:val="single" w:sz="8" w:color="1A475F"/>
            </w:tcBorders>
            <w:vMerge w:val="continue"/>
          </w:tcPr>
          <w:p>
            <w:pPr>
              <w:spacing w:after="0"/>
              <w:rPr>
                <w:sz w:val="5"/>
                <w:szCs w:val="5"/>
                <w:color w:val="auto"/>
              </w:rPr>
            </w:pPr>
          </w:p>
        </w:tc>
        <w:tc>
          <w:tcPr>
            <w:tcW w:w="7620" w:type="dxa"/>
            <w:vAlign w:val="bottom"/>
            <w:tcBorders>
              <w:right w:val="single" w:sz="8" w:color="1A475F"/>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40" w:type="dxa"/>
            <w:vAlign w:val="bottom"/>
            <w:tcBorders>
              <w:left w:val="single" w:sz="8" w:color="1A475F"/>
            </w:tcBorders>
          </w:tcPr>
          <w:p>
            <w:pPr>
              <w:ind w:left="140"/>
              <w:spacing w:after="0"/>
              <w:rPr>
                <w:sz w:val="20"/>
                <w:szCs w:val="20"/>
                <w:color w:val="auto"/>
              </w:rPr>
            </w:pPr>
            <w:r>
              <w:rPr>
                <w:rFonts w:ascii="Arial" w:cs="Arial" w:eastAsia="Arial" w:hAnsi="Arial"/>
                <w:sz w:val="15"/>
                <w:szCs w:val="15"/>
                <w:b w:val="1"/>
                <w:bCs w:val="1"/>
                <w:color w:val="1A475F"/>
              </w:rPr>
              <w:t>Committees:</w:t>
            </w:r>
          </w:p>
        </w:tc>
        <w:tc>
          <w:tcPr>
            <w:tcW w:w="7620" w:type="dxa"/>
            <w:vAlign w:val="bottom"/>
            <w:tcBorders>
              <w:right w:val="single" w:sz="8" w:color="1A475F"/>
            </w:tcBorders>
            <w:vMerge w:val="restart"/>
          </w:tcPr>
          <w:p>
            <w:pPr>
              <w:ind w:left="240"/>
              <w:spacing w:after="0"/>
              <w:rPr>
                <w:sz w:val="20"/>
                <w:szCs w:val="20"/>
                <w:color w:val="auto"/>
              </w:rPr>
            </w:pPr>
            <w:r>
              <w:rPr>
                <w:rFonts w:ascii="Arial" w:cs="Arial" w:eastAsia="Arial" w:hAnsi="Arial"/>
                <w:sz w:val="15"/>
                <w:szCs w:val="15"/>
                <w:b w:val="1"/>
                <w:bCs w:val="1"/>
                <w:i w:val="1"/>
                <w:iCs w:val="1"/>
                <w:color w:val="1A475F"/>
              </w:rPr>
              <w:t xml:space="preserve">Qualifications: </w:t>
            </w:r>
            <w:r>
              <w:rPr>
                <w:rFonts w:ascii="Arial" w:cs="Arial" w:eastAsia="Arial" w:hAnsi="Arial"/>
                <w:sz w:val="15"/>
                <w:szCs w:val="15"/>
                <w:color w:val="1A475F"/>
              </w:rPr>
              <w:t>Ms. Schulz has over twenty-five years of global executive, leadership and operational</w:t>
            </w:r>
          </w:p>
        </w:tc>
        <w:tc>
          <w:tcPr>
            <w:tcW w:w="0" w:type="dxa"/>
            <w:vAlign w:val="bottom"/>
          </w:tcPr>
          <w:p>
            <w:pPr>
              <w:spacing w:after="0"/>
              <w:rPr>
                <w:sz w:val="1"/>
                <w:szCs w:val="1"/>
                <w:color w:val="auto"/>
              </w:rPr>
            </w:pPr>
          </w:p>
        </w:tc>
      </w:tr>
      <w:tr>
        <w:trPr>
          <w:trHeight w:val="69"/>
        </w:trPr>
        <w:tc>
          <w:tcPr>
            <w:tcW w:w="1840" w:type="dxa"/>
            <w:vAlign w:val="bottom"/>
            <w:tcBorders>
              <w:left w:val="single" w:sz="8" w:color="1A475F"/>
            </w:tcBorders>
            <w:vMerge w:val="restart"/>
          </w:tcPr>
          <w:p>
            <w:pPr>
              <w:ind w:left="140"/>
              <w:spacing w:after="0"/>
              <w:rPr>
                <w:sz w:val="20"/>
                <w:szCs w:val="20"/>
                <w:color w:val="auto"/>
              </w:rPr>
            </w:pPr>
            <w:r>
              <w:rPr>
                <w:rFonts w:ascii="Arial" w:cs="Arial" w:eastAsia="Arial" w:hAnsi="Arial"/>
                <w:sz w:val="15"/>
                <w:szCs w:val="15"/>
                <w:color w:val="1A475F"/>
              </w:rPr>
              <w:t>•   Compensation</w:t>
            </w:r>
          </w:p>
        </w:tc>
        <w:tc>
          <w:tcPr>
            <w:tcW w:w="7620" w:type="dxa"/>
            <w:vAlign w:val="bottom"/>
            <w:tcBorders>
              <w:right w:val="single" w:sz="8" w:color="1A475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840" w:type="dxa"/>
            <w:vAlign w:val="bottom"/>
            <w:tcBorders>
              <w:left w:val="single" w:sz="8" w:color="1A475F"/>
            </w:tcBorders>
            <w:vMerge w:val="continue"/>
          </w:tcPr>
          <w:p>
            <w:pPr>
              <w:spacing w:after="0"/>
              <w:rPr>
                <w:sz w:val="11"/>
                <w:szCs w:val="11"/>
                <w:color w:val="auto"/>
              </w:rPr>
            </w:pPr>
          </w:p>
        </w:tc>
        <w:tc>
          <w:tcPr>
            <w:tcW w:w="7620" w:type="dxa"/>
            <w:vAlign w:val="bottom"/>
            <w:tcBorders>
              <w:right w:val="single" w:sz="8" w:color="1A475F"/>
            </w:tcBorders>
            <w:vMerge w:val="restart"/>
          </w:tcPr>
          <w:p>
            <w:pPr>
              <w:ind w:left="240"/>
              <w:spacing w:after="0"/>
              <w:rPr>
                <w:sz w:val="20"/>
                <w:szCs w:val="20"/>
                <w:color w:val="auto"/>
              </w:rPr>
            </w:pPr>
            <w:r>
              <w:rPr>
                <w:rFonts w:ascii="Arial" w:cs="Arial" w:eastAsia="Arial" w:hAnsi="Arial"/>
                <w:sz w:val="15"/>
                <w:szCs w:val="15"/>
                <w:color w:val="1A475F"/>
              </w:rPr>
              <w:t>experience in the e-commerce, digital marketing and payments industries making her an essential member</w:t>
            </w:r>
          </w:p>
        </w:tc>
        <w:tc>
          <w:tcPr>
            <w:tcW w:w="0" w:type="dxa"/>
            <w:vAlign w:val="bottom"/>
          </w:tcPr>
          <w:p>
            <w:pPr>
              <w:spacing w:after="0"/>
              <w:rPr>
                <w:sz w:val="1"/>
                <w:szCs w:val="1"/>
                <w:color w:val="auto"/>
              </w:rPr>
            </w:pPr>
          </w:p>
        </w:tc>
      </w:tr>
      <w:tr>
        <w:trPr>
          <w:trHeight w:val="41"/>
        </w:trPr>
        <w:tc>
          <w:tcPr>
            <w:tcW w:w="1840" w:type="dxa"/>
            <w:vAlign w:val="bottom"/>
            <w:tcBorders>
              <w:left w:val="single" w:sz="8" w:color="1A475F"/>
            </w:tcBorders>
          </w:tcPr>
          <w:p>
            <w:pPr>
              <w:spacing w:after="0"/>
              <w:rPr>
                <w:sz w:val="3"/>
                <w:szCs w:val="3"/>
                <w:color w:val="auto"/>
              </w:rPr>
            </w:pPr>
          </w:p>
        </w:tc>
        <w:tc>
          <w:tcPr>
            <w:tcW w:w="7620" w:type="dxa"/>
            <w:vAlign w:val="bottom"/>
            <w:tcBorders>
              <w:right w:val="single" w:sz="8" w:color="1A475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840" w:type="dxa"/>
            <w:vAlign w:val="bottom"/>
            <w:tcBorders>
              <w:left w:val="single" w:sz="8" w:color="1A475F"/>
              <w:bottom w:val="single" w:sz="8" w:color="1A475F"/>
            </w:tcBorders>
          </w:tcPr>
          <w:p>
            <w:pPr>
              <w:spacing w:after="0"/>
              <w:rPr>
                <w:sz w:val="17"/>
                <w:szCs w:val="17"/>
                <w:color w:val="auto"/>
              </w:rPr>
            </w:pPr>
          </w:p>
        </w:tc>
        <w:tc>
          <w:tcPr>
            <w:tcW w:w="7620" w:type="dxa"/>
            <w:vAlign w:val="bottom"/>
            <w:tcBorders>
              <w:bottom w:val="single" w:sz="8" w:color="1A475F"/>
              <w:right w:val="single" w:sz="8" w:color="1A475F"/>
            </w:tcBorders>
          </w:tcPr>
          <w:p>
            <w:pPr>
              <w:ind w:left="240"/>
              <w:spacing w:after="0"/>
              <w:rPr>
                <w:sz w:val="20"/>
                <w:szCs w:val="20"/>
                <w:color w:val="auto"/>
              </w:rPr>
            </w:pPr>
            <w:r>
              <w:rPr>
                <w:rFonts w:ascii="Arial" w:cs="Arial" w:eastAsia="Arial" w:hAnsi="Arial"/>
                <w:sz w:val="15"/>
                <w:szCs w:val="15"/>
                <w:color w:val="1A475F"/>
              </w:rPr>
              <w:t>of the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132080</wp:posOffset>
            </wp:positionV>
            <wp:extent cx="5997575" cy="18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97575" cy="18351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-1763395</wp:posOffset>
            </wp:positionV>
            <wp:extent cx="955675" cy="948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5675" cy="948055"/>
                    </a:xfrm>
                    <a:prstGeom prst="rect">
                      <a:avLst/>
                    </a:prstGeom>
                    <a:noFill/>
                  </pic:spPr>
                </pic:pic>
              </a:graphicData>
            </a:graphic>
          </wp:anchor>
        </w:drawing>
      </w:r>
    </w:p>
    <w:p>
      <w:pPr>
        <w:spacing w:after="0" w:line="22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Vote Required</w:t>
      </w:r>
    </w:p>
    <w:p>
      <w:pPr>
        <w:spacing w:after="0" w:line="154" w:lineRule="exact"/>
        <w:rPr>
          <w:sz w:val="20"/>
          <w:szCs w:val="20"/>
          <w:color w:val="auto"/>
        </w:rPr>
      </w:pPr>
    </w:p>
    <w:p>
      <w:pPr>
        <w:ind w:left="900" w:right="20" w:firstLine="756"/>
        <w:spacing w:after="0" w:line="251" w:lineRule="auto"/>
        <w:rPr>
          <w:sz w:val="20"/>
          <w:szCs w:val="20"/>
          <w:color w:val="auto"/>
        </w:rPr>
      </w:pPr>
      <w:r>
        <w:rPr>
          <w:rFonts w:ascii="Arial" w:cs="Arial" w:eastAsia="Arial" w:hAnsi="Arial"/>
          <w:sz w:val="15"/>
          <w:szCs w:val="15"/>
          <w:color w:val="1A475F"/>
        </w:rPr>
        <w:t>The Company has a majority voting requirement for the uncontested election of directors, which increases our Board’s accountability to our shareholders. A majority of the votes cast at the Annual Meeting will be required for the election of each of the director nominees. A nominee for director will be elected to the Board if the votes cast “for” such nominee’s election exceed the votes cast “against” such nominee’s election. Broker non-votes and abstentions are not considered votes cast for the foregoing purpose and will have no effect on the outcome of the election of the nominees.</w:t>
      </w:r>
    </w:p>
    <w:p>
      <w:pPr>
        <w:spacing w:after="0" w:line="169" w:lineRule="exact"/>
        <w:rPr>
          <w:sz w:val="20"/>
          <w:szCs w:val="20"/>
          <w:color w:val="auto"/>
        </w:rPr>
      </w:pPr>
    </w:p>
    <w:tbl>
      <w:tblPr>
        <w:tblLayout w:type="fixed"/>
        <w:tblInd w:w="910" w:type="dxa"/>
        <w:tblCellMar>
          <w:top w:w="0" w:type="dxa"/>
          <w:left w:w="0" w:type="dxa"/>
          <w:bottom w:w="0" w:type="dxa"/>
          <w:right w:w="0" w:type="dxa"/>
        </w:tblCellMar>
      </w:tblPr>
      <w:tr>
        <w:trPr>
          <w:trHeight w:val="238"/>
        </w:trPr>
        <w:tc>
          <w:tcPr>
            <w:tcW w:w="600" w:type="dxa"/>
            <w:vAlign w:val="bottom"/>
            <w:tcBorders>
              <w:top w:val="single" w:sz="8" w:color="1A475F"/>
              <w:left w:val="single" w:sz="8" w:color="1A475F"/>
              <w:right w:val="single" w:sz="8" w:color="1A475F"/>
            </w:tcBorders>
            <w:vMerge w:val="restart"/>
          </w:tcPr>
          <w:p>
            <w:pPr>
              <w:ind w:left="140"/>
              <w:spacing w:after="0" w:line="253" w:lineRule="exact"/>
              <w:rPr>
                <w:sz w:val="20"/>
                <w:szCs w:val="20"/>
                <w:color w:val="auto"/>
              </w:rPr>
            </w:pPr>
            <w:r>
              <w:rPr>
                <w:rFonts w:ascii="Arial" w:cs="Arial" w:eastAsia="Arial" w:hAnsi="Arial"/>
                <w:sz w:val="22"/>
                <w:szCs w:val="22"/>
                <w:b w:val="1"/>
                <w:bCs w:val="1"/>
                <w:color w:val="1A475F"/>
              </w:rPr>
              <w:t xml:space="preserve">  </w:t>
            </w:r>
            <w:r>
              <w:rPr>
                <w:rFonts w:ascii="MS PGothic" w:cs="MS PGothic" w:eastAsia="MS PGothic" w:hAnsi="MS PGothic"/>
                <w:sz w:val="22"/>
                <w:szCs w:val="22"/>
                <w:color w:val="1A475F"/>
              </w:rPr>
              <w:t>☑</w:t>
            </w:r>
            <w:r>
              <w:rPr>
                <w:rFonts w:ascii="Arial" w:cs="Arial" w:eastAsia="Arial" w:hAnsi="Arial"/>
                <w:sz w:val="22"/>
                <w:szCs w:val="22"/>
                <w:b w:val="1"/>
                <w:bCs w:val="1"/>
                <w:color w:val="1A475F"/>
              </w:rPr>
              <w:t xml:space="preserve"> </w:t>
            </w:r>
          </w:p>
        </w:tc>
        <w:tc>
          <w:tcPr>
            <w:tcW w:w="8860" w:type="dxa"/>
            <w:vAlign w:val="bottom"/>
            <w:tcBorders>
              <w:top w:val="single" w:sz="8" w:color="1A475F"/>
              <w:right w:val="single" w:sz="8" w:color="1A475F"/>
            </w:tcBorders>
          </w:tcPr>
          <w:p>
            <w:pPr>
              <w:ind w:left="80"/>
              <w:spacing w:after="0"/>
              <w:rPr>
                <w:sz w:val="20"/>
                <w:szCs w:val="20"/>
                <w:color w:val="auto"/>
              </w:rPr>
            </w:pPr>
            <w:r>
              <w:rPr>
                <w:rFonts w:ascii="Arial" w:cs="Arial" w:eastAsia="Arial" w:hAnsi="Arial"/>
                <w:sz w:val="15"/>
                <w:szCs w:val="15"/>
                <w:b w:val="1"/>
                <w:bCs w:val="1"/>
                <w:color w:val="1A475F"/>
              </w:rPr>
              <w:t>THE BOARD OF DIRECTORS RECOMMENDS THAT YOU VOTE “FOR” THE ELECTION OF EACH OF THE NOMINEES</w:t>
            </w:r>
          </w:p>
        </w:tc>
        <w:tc>
          <w:tcPr>
            <w:tcW w:w="0" w:type="dxa"/>
            <w:vAlign w:val="bottom"/>
          </w:tcPr>
          <w:p>
            <w:pPr>
              <w:spacing w:after="0"/>
              <w:rPr>
                <w:sz w:val="1"/>
                <w:szCs w:val="1"/>
                <w:color w:val="auto"/>
              </w:rPr>
            </w:pPr>
          </w:p>
        </w:tc>
      </w:tr>
      <w:tr>
        <w:trPr>
          <w:trHeight w:val="212"/>
        </w:trPr>
        <w:tc>
          <w:tcPr>
            <w:tcW w:w="600" w:type="dxa"/>
            <w:vAlign w:val="bottom"/>
            <w:tcBorders>
              <w:left w:val="single" w:sz="8" w:color="1A475F"/>
              <w:right w:val="single" w:sz="8" w:color="1A475F"/>
            </w:tcBorders>
            <w:vMerge w:val="continue"/>
          </w:tcPr>
          <w:p>
            <w:pPr>
              <w:spacing w:after="0"/>
              <w:rPr>
                <w:sz w:val="18"/>
                <w:szCs w:val="18"/>
                <w:color w:val="auto"/>
              </w:rPr>
            </w:pPr>
          </w:p>
        </w:tc>
        <w:tc>
          <w:tcPr>
            <w:tcW w:w="8860" w:type="dxa"/>
            <w:vAlign w:val="bottom"/>
            <w:tcBorders>
              <w:right w:val="single" w:sz="8" w:color="1A475F"/>
            </w:tcBorders>
          </w:tcPr>
          <w:p>
            <w:pPr>
              <w:ind w:left="80"/>
              <w:spacing w:after="0"/>
              <w:rPr>
                <w:sz w:val="20"/>
                <w:szCs w:val="20"/>
                <w:color w:val="auto"/>
              </w:rPr>
            </w:pPr>
            <w:r>
              <w:rPr>
                <w:rFonts w:ascii="Arial" w:cs="Arial" w:eastAsia="Arial" w:hAnsi="Arial"/>
                <w:sz w:val="15"/>
                <w:szCs w:val="15"/>
                <w:b w:val="1"/>
                <w:bCs w:val="1"/>
                <w:color w:val="1A475F"/>
              </w:rPr>
              <w:t>AS DIRECTOR FOR A TERM OF ONE YEAR.</w:t>
            </w:r>
          </w:p>
        </w:tc>
        <w:tc>
          <w:tcPr>
            <w:tcW w:w="0" w:type="dxa"/>
            <w:vAlign w:val="bottom"/>
          </w:tcPr>
          <w:p>
            <w:pPr>
              <w:spacing w:after="0"/>
              <w:rPr>
                <w:sz w:val="1"/>
                <w:szCs w:val="1"/>
                <w:color w:val="auto"/>
              </w:rPr>
            </w:pPr>
          </w:p>
        </w:tc>
      </w:tr>
      <w:tr>
        <w:trPr>
          <w:trHeight w:val="98"/>
        </w:trPr>
        <w:tc>
          <w:tcPr>
            <w:tcW w:w="600" w:type="dxa"/>
            <w:vAlign w:val="bottom"/>
            <w:tcBorders>
              <w:left w:val="single" w:sz="8" w:color="1A475F"/>
              <w:bottom w:val="single" w:sz="8" w:color="1A475F"/>
              <w:right w:val="single" w:sz="8" w:color="1A475F"/>
            </w:tcBorders>
          </w:tcPr>
          <w:p>
            <w:pPr>
              <w:spacing w:after="0"/>
              <w:rPr>
                <w:sz w:val="8"/>
                <w:szCs w:val="8"/>
                <w:color w:val="auto"/>
              </w:rPr>
            </w:pPr>
          </w:p>
        </w:tc>
        <w:tc>
          <w:tcPr>
            <w:tcW w:w="8860" w:type="dxa"/>
            <w:vAlign w:val="bottom"/>
            <w:tcBorders>
              <w:bottom w:val="single" w:sz="8" w:color="1A475F"/>
              <w:right w:val="single" w:sz="8" w:color="1A475F"/>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600" w:type="dxa"/>
            <w:vAlign w:val="bottom"/>
          </w:tcPr>
          <w:p>
            <w:pPr>
              <w:spacing w:after="0"/>
              <w:rPr>
                <w:sz w:val="24"/>
                <w:szCs w:val="24"/>
                <w:color w:val="auto"/>
              </w:rPr>
            </w:pPr>
          </w:p>
        </w:tc>
        <w:tc>
          <w:tcPr>
            <w:tcW w:w="8860" w:type="dxa"/>
            <w:vAlign w:val="bottom"/>
          </w:tcPr>
          <w:p>
            <w:pPr>
              <w:ind w:left="6620"/>
              <w:spacing w:after="0"/>
              <w:rPr>
                <w:sz w:val="20"/>
                <w:szCs w:val="20"/>
                <w:color w:val="auto"/>
              </w:rPr>
            </w:pPr>
            <w:r>
              <w:rPr>
                <w:rFonts w:ascii="Arial" w:cs="Arial" w:eastAsia="Arial" w:hAnsi="Arial"/>
                <w:sz w:val="15"/>
                <w:szCs w:val="15"/>
                <w:b w:val="1"/>
                <w:bCs w:val="1"/>
                <w:color w:val="1A475F"/>
              </w:rPr>
              <w:t>  2026 Proxy Statement   |   7</w:t>
            </w:r>
          </w:p>
        </w:tc>
        <w:tc>
          <w:tcPr>
            <w:tcW w:w="0" w:type="dxa"/>
            <w:vAlign w:val="bottom"/>
          </w:tcPr>
          <w:p>
            <w:pPr>
              <w:spacing w:after="0"/>
              <w:rPr>
                <w:sz w:val="1"/>
                <w:szCs w:val="1"/>
                <w:color w:val="auto"/>
              </w:rPr>
            </w:pPr>
          </w:p>
        </w:tc>
      </w:tr>
    </w:tbl>
    <w:p>
      <w:pPr>
        <w:sectPr>
          <w:pgSz w:w="11900" w:h="16838" w:orient="portrait"/>
          <w:cols w:equalWidth="0" w:num="1">
            <w:col w:w="10360"/>
          </w:cols>
          <w:pgMar w:left="320" w:top="433" w:right="1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189230</wp:posOffset>
            </wp:positionV>
            <wp:extent cx="5997575" cy="183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Directors Not Standing for Election</w:t>
      </w:r>
    </w:p>
    <w:p>
      <w:pPr>
        <w:spacing w:after="0" w:line="246" w:lineRule="exact"/>
        <w:rPr>
          <w:sz w:val="20"/>
          <w:szCs w:val="20"/>
          <w:color w:val="auto"/>
        </w:rPr>
      </w:pPr>
    </w:p>
    <w:p>
      <w:pPr>
        <w:jc w:val="right"/>
        <w:ind w:right="6200"/>
        <w:spacing w:after="0"/>
        <w:rPr>
          <w:sz w:val="20"/>
          <w:szCs w:val="20"/>
          <w:color w:val="auto"/>
        </w:rPr>
      </w:pPr>
      <w:r>
        <w:rPr>
          <w:rFonts w:ascii="Arial" w:cs="Arial" w:eastAsia="Arial" w:hAnsi="Arial"/>
          <w:sz w:val="15"/>
          <w:szCs w:val="15"/>
          <w:b w:val="1"/>
          <w:bCs w:val="1"/>
          <w:i w:val="1"/>
          <w:iCs w:val="1"/>
          <w:color w:val="1A475F"/>
        </w:rPr>
        <w:t>2027 Class Directors (Term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142240</wp:posOffset>
            </wp:positionV>
            <wp:extent cx="6012815" cy="1932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12815" cy="1932940"/>
                    </a:xfrm>
                    <a:prstGeom prst="rect">
                      <a:avLst/>
                    </a:prstGeom>
                    <a:noFill/>
                  </pic:spPr>
                </pic:pic>
              </a:graphicData>
            </a:graphic>
          </wp:anchor>
        </w:drawing>
      </w:r>
    </w:p>
    <w:p>
      <w:pPr>
        <w:sectPr>
          <w:pgSz w:w="11900" w:h="16838" w:orient="portrait"/>
          <w:cols w:equalWidth="0" w:num="1">
            <w:col w:w="10360"/>
          </w:cols>
          <w:pgMar w:left="320" w:top="43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Julie Atkinson</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 xml:space="preserve">Age: </w:t>
      </w:r>
      <w:r>
        <w:rPr>
          <w:rFonts w:ascii="Arial" w:cs="Arial" w:eastAsia="Arial" w:hAnsi="Arial"/>
          <w:sz w:val="15"/>
          <w:szCs w:val="15"/>
          <w:color w:val="1A475F"/>
        </w:rPr>
        <w:t>52</w: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 xml:space="preserve">Director since: </w:t>
      </w:r>
      <w:r>
        <w:rPr>
          <w:rFonts w:ascii="Arial" w:cs="Arial" w:eastAsia="Arial" w:hAnsi="Arial"/>
          <w:sz w:val="15"/>
          <w:szCs w:val="15"/>
          <w:color w:val="1A475F"/>
        </w:rPr>
        <w:t>2017</w: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Committees:</w:t>
      </w:r>
    </w:p>
    <w:p>
      <w:pPr>
        <w:spacing w:after="0" w:line="36" w:lineRule="exact"/>
        <w:rPr>
          <w:sz w:val="20"/>
          <w:szCs w:val="20"/>
          <w:color w:val="auto"/>
        </w:rPr>
      </w:pPr>
    </w:p>
    <w:p>
      <w:pPr>
        <w:ind w:left="1320" w:right="100" w:hanging="284"/>
        <w:spacing w:after="0" w:line="260" w:lineRule="auto"/>
        <w:tabs>
          <w:tab w:leader="none" w:pos="1320" w:val="left"/>
        </w:tabs>
        <w:numPr>
          <w:ilvl w:val="0"/>
          <w:numId w:val="13"/>
        </w:numPr>
        <w:rPr>
          <w:rFonts w:ascii="Arial" w:cs="Arial" w:eastAsia="Arial" w:hAnsi="Arial"/>
          <w:sz w:val="15"/>
          <w:szCs w:val="15"/>
          <w:color w:val="1A475F"/>
        </w:rPr>
      </w:pPr>
      <w:r>
        <w:rPr>
          <w:rFonts w:ascii="Arial" w:cs="Arial" w:eastAsia="Arial" w:hAnsi="Arial"/>
          <w:sz w:val="15"/>
          <w:szCs w:val="15"/>
          <w:color w:val="1A475F"/>
        </w:rPr>
        <w:t>Nominating and Corporate Governance</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right="400"/>
        <w:spacing w:after="0" w:line="244" w:lineRule="auto"/>
        <w:rPr>
          <w:sz w:val="20"/>
          <w:szCs w:val="20"/>
          <w:color w:val="auto"/>
        </w:rPr>
      </w:pPr>
      <w:r>
        <w:rPr>
          <w:rFonts w:ascii="Arial" w:cs="Arial" w:eastAsia="Arial" w:hAnsi="Arial"/>
          <w:sz w:val="15"/>
          <w:szCs w:val="15"/>
          <w:b w:val="1"/>
          <w:bCs w:val="1"/>
          <w:i w:val="1"/>
          <w:iCs w:val="1"/>
          <w:color w:val="1A475F"/>
        </w:rPr>
        <w:t xml:space="preserve">Background: </w:t>
      </w:r>
      <w:r>
        <w:rPr>
          <w:rFonts w:ascii="Arial" w:cs="Arial" w:eastAsia="Arial" w:hAnsi="Arial"/>
          <w:sz w:val="15"/>
          <w:szCs w:val="15"/>
          <w:color w:val="1A475F"/>
        </w:rPr>
        <w:t>Ms. Atkinson served as Chief Marketing Officer for Chopt Creative Salad Company from</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October 2019 to January 2023. She previously served as Senior Vice President, Global Digital at Tory Burch LLC from February 2017 to February 2018. Prior to joining Tory Burch, Ms. Atkinson served in various leadership roles at Starwood Hotels &amp; Resorts Worldwide, Inc. (“Starwood”), most recently as Senior Vice President, Global Digital from November 2014 to January 2017 and as Vice President of Global Online Distribution from September 2012 until November 2014. Prior to joining Starwood,</w:t>
      </w:r>
    </w:p>
    <w:p>
      <w:pPr>
        <w:spacing w:after="0" w:line="4" w:lineRule="exact"/>
        <w:rPr>
          <w:sz w:val="20"/>
          <w:szCs w:val="20"/>
          <w:color w:val="auto"/>
        </w:rPr>
      </w:pPr>
    </w:p>
    <w:p>
      <w:pPr>
        <w:jc w:val="both"/>
        <w:ind w:right="140"/>
        <w:spacing w:after="0" w:line="262" w:lineRule="auto"/>
        <w:rPr>
          <w:sz w:val="20"/>
          <w:szCs w:val="20"/>
          <w:color w:val="auto"/>
        </w:rPr>
      </w:pPr>
      <w:r>
        <w:rPr>
          <w:rFonts w:ascii="Arial" w:cs="Arial" w:eastAsia="Arial" w:hAnsi="Arial"/>
          <w:sz w:val="15"/>
          <w:szCs w:val="15"/>
          <w:color w:val="1A475F"/>
        </w:rPr>
        <w:t>Ms. Atkinson held multiple roles at Travelocity including marketing and operations. Ms. Atkinson served on the board of directors of Ventoux CCM (Nasdaq: VTAQU) between December 2020 and September 2022.</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A475F"/>
        </w:rPr>
        <w:t xml:space="preserve">Current public company directorships (including Bright Horizons): </w:t>
      </w:r>
      <w:r>
        <w:rPr>
          <w:rFonts w:ascii="Arial" w:cs="Arial" w:eastAsia="Arial" w:hAnsi="Arial"/>
          <w:sz w:val="15"/>
          <w:szCs w:val="15"/>
          <w:color w:val="1A475F"/>
        </w:rPr>
        <w:t>1</w:t>
      </w:r>
    </w:p>
    <w:p>
      <w:pPr>
        <w:spacing w:after="0" w:line="210"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b w:val="1"/>
          <w:bCs w:val="1"/>
          <w:i w:val="1"/>
          <w:iCs w:val="1"/>
          <w:color w:val="1A475F"/>
        </w:rPr>
        <w:t xml:space="preserve">Qualifications: </w:t>
      </w:r>
      <w:r>
        <w:rPr>
          <w:rFonts w:ascii="Arial" w:cs="Arial" w:eastAsia="Arial" w:hAnsi="Arial"/>
          <w:sz w:val="15"/>
          <w:szCs w:val="15"/>
          <w:color w:val="1A475F"/>
        </w:rPr>
        <w:t>Ms. Atkinson’s valuable experience and background in marketing, digital growth strategy,</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operations and e-commerce make her an important resource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523875</wp:posOffset>
            </wp:positionV>
            <wp:extent cx="6012815" cy="2043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12815" cy="2043430"/>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2500" w:space="480"/>
            <w:col w:w="7380"/>
          </w:cols>
          <w:pgMar w:left="320" w:top="433"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Jordan Hitch</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 xml:space="preserve">Age: </w:t>
      </w:r>
      <w:r>
        <w:rPr>
          <w:rFonts w:ascii="Arial" w:cs="Arial" w:eastAsia="Arial" w:hAnsi="Arial"/>
          <w:sz w:val="15"/>
          <w:szCs w:val="15"/>
          <w:color w:val="1A475F"/>
        </w:rPr>
        <w:t>59</w: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 xml:space="preserve">Director since: </w:t>
      </w:r>
      <w:r>
        <w:rPr>
          <w:rFonts w:ascii="Arial" w:cs="Arial" w:eastAsia="Arial" w:hAnsi="Arial"/>
          <w:sz w:val="15"/>
          <w:szCs w:val="15"/>
          <w:color w:val="1A475F"/>
        </w:rPr>
        <w:t>2008</w: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1A475F"/>
        </w:rPr>
        <w:t>Committees: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b w:val="1"/>
          <w:bCs w:val="1"/>
          <w:i w:val="1"/>
          <w:iCs w:val="1"/>
          <w:color w:val="1A475F"/>
        </w:rPr>
        <w:t xml:space="preserve">Background: </w:t>
      </w:r>
      <w:r>
        <w:rPr>
          <w:rFonts w:ascii="Arial" w:cs="Arial" w:eastAsia="Arial" w:hAnsi="Arial"/>
          <w:sz w:val="15"/>
          <w:szCs w:val="15"/>
          <w:color w:val="1A475F"/>
        </w:rPr>
        <w:t>Mr. Hitch is currently an active private investor in a wide range of early stage growth</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companies and renewable infrastructure projects. Previously, Mr. Hitch was a Managing Director at Bain Capital for 18 years. Mr. Hitch served as a Senior Advisor to Bain Capital following his departure from the firm in 2015 until 2017. Prior to joining Bain Capital, Mr. Hitch was a consultant at Bain &amp; Company where he worked in the financial services, healthcare and utility industries. Mr. Hitch currently serves on the board of Burlington Stores, Inc. (NYSE: BURL) and as Chair of their Compensation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A475F"/>
        </w:rPr>
        <w:t xml:space="preserve">Current public company directorships (including Bright Horizons): </w:t>
      </w:r>
      <w:r>
        <w:rPr>
          <w:rFonts w:ascii="Arial" w:cs="Arial" w:eastAsia="Arial" w:hAnsi="Arial"/>
          <w:sz w:val="15"/>
          <w:szCs w:val="15"/>
          <w:color w:val="1A475F"/>
        </w:rPr>
        <w:t>2</w:t>
      </w:r>
    </w:p>
    <w:p>
      <w:pPr>
        <w:spacing w:after="0" w:line="210"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b w:val="1"/>
          <w:bCs w:val="1"/>
          <w:i w:val="1"/>
          <w:iCs w:val="1"/>
          <w:color w:val="1A475F"/>
        </w:rPr>
        <w:t xml:space="preserve">Qualifications: </w:t>
      </w:r>
      <w:r>
        <w:rPr>
          <w:rFonts w:ascii="Arial" w:cs="Arial" w:eastAsia="Arial" w:hAnsi="Arial"/>
          <w:sz w:val="15"/>
          <w:szCs w:val="15"/>
          <w:color w:val="1A475F"/>
        </w:rPr>
        <w:t>Mr. Hitch’s significant professional experience in, and knowledge of, corporate finance,</w:t>
      </w:r>
      <w:r>
        <w:rPr>
          <w:rFonts w:ascii="Arial" w:cs="Arial" w:eastAsia="Arial" w:hAnsi="Arial"/>
          <w:sz w:val="15"/>
          <w:szCs w:val="15"/>
          <w:b w:val="1"/>
          <w:bCs w:val="1"/>
          <w:i w:val="1"/>
          <w:iCs w:val="1"/>
          <w:color w:val="1A475F"/>
        </w:rPr>
        <w:t xml:space="preserve"> </w:t>
      </w:r>
      <w:r>
        <w:rPr>
          <w:rFonts w:ascii="Arial" w:cs="Arial" w:eastAsia="Arial" w:hAnsi="Arial"/>
          <w:sz w:val="15"/>
          <w:szCs w:val="15"/>
          <w:color w:val="1A475F"/>
        </w:rPr>
        <w:t>strategic development and capital markets strengthen the collective qualifications, skills and experience of the Board.</w:t>
      </w:r>
    </w:p>
    <w:p>
      <w:pPr>
        <w:spacing w:after="0" w:line="237" w:lineRule="exact"/>
        <w:rPr>
          <w:sz w:val="20"/>
          <w:szCs w:val="20"/>
          <w:color w:val="auto"/>
        </w:rPr>
      </w:pPr>
    </w:p>
    <w:p>
      <w:pPr>
        <w:sectPr>
          <w:pgSz w:w="11900" w:h="16838" w:orient="portrait"/>
          <w:cols w:equalWidth="0" w:num="2">
            <w:col w:w="2500" w:space="480"/>
            <w:col w:w="7380"/>
          </w:cols>
          <w:pgMar w:left="320" w:top="433" w:right="1219" w:bottom="1440" w:gutter="0" w:footer="0" w:header="0"/>
          <w:type w:val="continuous"/>
        </w:sectPr>
      </w:pPr>
    </w:p>
    <w:p>
      <w:pPr>
        <w:ind w:left="1320" w:hanging="284"/>
        <w:spacing w:after="0"/>
        <w:tabs>
          <w:tab w:leader="none" w:pos="1320" w:val="left"/>
        </w:tabs>
        <w:numPr>
          <w:ilvl w:val="0"/>
          <w:numId w:val="14"/>
        </w:numPr>
        <w:rPr>
          <w:rFonts w:ascii="Arial" w:cs="Arial" w:eastAsia="Arial" w:hAnsi="Arial"/>
          <w:sz w:val="15"/>
          <w:szCs w:val="15"/>
          <w:color w:val="1A475F"/>
        </w:rPr>
      </w:pPr>
      <w:r>
        <w:rPr>
          <w:rFonts w:ascii="Arial" w:cs="Arial" w:eastAsia="Arial" w:hAnsi="Arial"/>
          <w:sz w:val="15"/>
          <w:szCs w:val="15"/>
          <w:color w:val="1A475F"/>
        </w:rPr>
        <w:t>Compensation, Chair</w:t>
      </w:r>
    </w:p>
    <w:p>
      <w:pPr>
        <w:spacing w:after="0" w:line="13" w:lineRule="exact"/>
        <w:rPr>
          <w:rFonts w:ascii="Arial" w:cs="Arial" w:eastAsia="Arial" w:hAnsi="Arial"/>
          <w:sz w:val="15"/>
          <w:szCs w:val="15"/>
          <w:color w:val="1A475F"/>
        </w:rPr>
      </w:pPr>
    </w:p>
    <w:p>
      <w:pPr>
        <w:ind w:left="1320" w:right="7960" w:hanging="284"/>
        <w:spacing w:after="0" w:line="252" w:lineRule="auto"/>
        <w:tabs>
          <w:tab w:leader="none" w:pos="1320" w:val="left"/>
        </w:tabs>
        <w:numPr>
          <w:ilvl w:val="0"/>
          <w:numId w:val="14"/>
        </w:numPr>
        <w:rPr>
          <w:rFonts w:ascii="Arial" w:cs="Arial" w:eastAsia="Arial" w:hAnsi="Arial"/>
          <w:sz w:val="15"/>
          <w:szCs w:val="15"/>
          <w:color w:val="1A475F"/>
        </w:rPr>
      </w:pPr>
      <w:r>
        <w:rPr>
          <w:rFonts w:ascii="Arial" w:cs="Arial" w:eastAsia="Arial" w:hAnsi="Arial"/>
          <w:sz w:val="15"/>
          <w:szCs w:val="15"/>
          <w:color w:val="1A475F"/>
        </w:rPr>
        <w:t>Nominating and Corporate Governance</w:t>
      </w:r>
    </w:p>
    <w:p>
      <w:pPr>
        <w:spacing w:after="0" w:line="201" w:lineRule="exact"/>
        <w:rPr>
          <w:sz w:val="20"/>
          <w:szCs w:val="20"/>
          <w:color w:val="auto"/>
        </w:rPr>
      </w:pPr>
    </w:p>
    <w:tbl>
      <w:tblPr>
        <w:tblLayout w:type="fixed"/>
        <w:tblInd w:w="910" w:type="dxa"/>
        <w:tblCellMar>
          <w:top w:w="0" w:type="dxa"/>
          <w:left w:w="0" w:type="dxa"/>
          <w:bottom w:w="0" w:type="dxa"/>
          <w:right w:w="0" w:type="dxa"/>
        </w:tblCellMar>
      </w:tblPr>
      <w:tr>
        <w:trPr>
          <w:trHeight w:val="217"/>
        </w:trPr>
        <w:tc>
          <w:tcPr>
            <w:tcW w:w="1840" w:type="dxa"/>
            <w:vAlign w:val="bottom"/>
            <w:tcBorders>
              <w:top w:val="single" w:sz="8" w:color="1A475F"/>
              <w:left w:val="single" w:sz="8" w:color="1A475F"/>
            </w:tcBorders>
          </w:tcPr>
          <w:p>
            <w:pPr>
              <w:spacing w:after="0"/>
              <w:rPr>
                <w:sz w:val="18"/>
                <w:szCs w:val="18"/>
                <w:color w:val="auto"/>
              </w:rPr>
            </w:pPr>
          </w:p>
        </w:tc>
        <w:tc>
          <w:tcPr>
            <w:tcW w:w="7620" w:type="dxa"/>
            <w:vAlign w:val="bottom"/>
            <w:tcBorders>
              <w:top w:val="single" w:sz="8" w:color="1A475F"/>
              <w:right w:val="single" w:sz="8" w:color="1A475F"/>
            </w:tcBorders>
          </w:tcPr>
          <w:p>
            <w:pPr>
              <w:ind w:left="240"/>
              <w:spacing w:after="0"/>
              <w:rPr>
                <w:sz w:val="20"/>
                <w:szCs w:val="20"/>
                <w:color w:val="auto"/>
              </w:rPr>
            </w:pPr>
            <w:r>
              <w:rPr>
                <w:rFonts w:ascii="Arial" w:cs="Arial" w:eastAsia="Arial" w:hAnsi="Arial"/>
                <w:sz w:val="15"/>
                <w:szCs w:val="15"/>
                <w:b w:val="1"/>
                <w:bCs w:val="1"/>
                <w:i w:val="1"/>
                <w:iCs w:val="1"/>
                <w:color w:val="1A475F"/>
              </w:rPr>
              <w:t xml:space="preserve">Background: </w:t>
            </w:r>
            <w:r>
              <w:rPr>
                <w:rFonts w:ascii="Arial" w:cs="Arial" w:eastAsia="Arial" w:hAnsi="Arial"/>
                <w:sz w:val="15"/>
                <w:szCs w:val="15"/>
                <w:color w:val="1A475F"/>
              </w:rPr>
              <w:t>Ms. Tocio served as Chief Operating Officer of the Company from 1993 and as President</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and COO from June 2000 until her retirement in June 2015. Ms. Tocio joined Bright Horizons in 1992 as</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Vice President and General Manager of Child Care Operations. Ms. Tocio has more than 30 years of</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experience managing multi-site service organizations, more than 20 years of which were with the</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Company. She was previously the Senior Vice President of Operations for Health Stop Medical</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Management, Inc. Ms. Tocio currently serves as a member of the board of directors of Burlington Stores,</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Inc. (NYSE: BURL) and as a member of their Compensation Committee and Chair of their Nominating and</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Governance Committee. She previously served on the board of 1Life Healthcare, Inc. (NASDAQ: ONEM)</w:t>
            </w: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from September 2021 to February 2023 and the board of Civitas Solutions, Inc. (The MENTOR Network)</w:t>
            </w:r>
          </w:p>
        </w:tc>
        <w:tc>
          <w:tcPr>
            <w:tcW w:w="0" w:type="dxa"/>
            <w:vAlign w:val="bottom"/>
          </w:tcPr>
          <w:p>
            <w:pPr>
              <w:spacing w:after="0"/>
              <w:rPr>
                <w:sz w:val="1"/>
                <w:szCs w:val="1"/>
                <w:color w:val="auto"/>
              </w:rPr>
            </w:pPr>
          </w:p>
        </w:tc>
      </w:tr>
      <w:tr>
        <w:trPr>
          <w:trHeight w:val="241"/>
        </w:trPr>
        <w:tc>
          <w:tcPr>
            <w:tcW w:w="1840" w:type="dxa"/>
            <w:vAlign w:val="bottom"/>
            <w:tcBorders>
              <w:left w:val="single" w:sz="8" w:color="1A475F"/>
            </w:tcBorders>
          </w:tcPr>
          <w:p>
            <w:pPr>
              <w:ind w:left="140"/>
              <w:spacing w:after="0"/>
              <w:rPr>
                <w:sz w:val="20"/>
                <w:szCs w:val="20"/>
                <w:color w:val="auto"/>
              </w:rPr>
            </w:pPr>
            <w:r>
              <w:rPr>
                <w:rFonts w:ascii="Arial" w:cs="Arial" w:eastAsia="Arial" w:hAnsi="Arial"/>
                <w:sz w:val="15"/>
                <w:szCs w:val="15"/>
                <w:b w:val="1"/>
                <w:bCs w:val="1"/>
                <w:color w:val="1A475F"/>
              </w:rPr>
              <w:t>Mary Ann Tocio</w:t>
            </w: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(NYSE: CIVI) from October 2015 to March 2019.</w:t>
            </w:r>
          </w:p>
        </w:tc>
        <w:tc>
          <w:tcPr>
            <w:tcW w:w="0" w:type="dxa"/>
            <w:vAlign w:val="bottom"/>
          </w:tcPr>
          <w:p>
            <w:pPr>
              <w:spacing w:after="0"/>
              <w:rPr>
                <w:sz w:val="1"/>
                <w:szCs w:val="1"/>
                <w:color w:val="auto"/>
              </w:rPr>
            </w:pPr>
          </w:p>
        </w:tc>
      </w:tr>
      <w:tr>
        <w:trPr>
          <w:trHeight w:val="208"/>
        </w:trPr>
        <w:tc>
          <w:tcPr>
            <w:tcW w:w="1840" w:type="dxa"/>
            <w:vAlign w:val="bottom"/>
            <w:tcBorders>
              <w:left w:val="single" w:sz="8" w:color="1A475F"/>
            </w:tcBorders>
          </w:tcPr>
          <w:p>
            <w:pPr>
              <w:ind w:left="140"/>
              <w:spacing w:after="0"/>
              <w:rPr>
                <w:sz w:val="20"/>
                <w:szCs w:val="20"/>
                <w:color w:val="auto"/>
              </w:rPr>
            </w:pPr>
            <w:r>
              <w:rPr>
                <w:rFonts w:ascii="Arial" w:cs="Arial" w:eastAsia="Arial" w:hAnsi="Arial"/>
                <w:sz w:val="15"/>
                <w:szCs w:val="15"/>
                <w:b w:val="1"/>
                <w:bCs w:val="1"/>
                <w:color w:val="1A475F"/>
              </w:rPr>
              <w:t xml:space="preserve">Age: </w:t>
            </w:r>
            <w:r>
              <w:rPr>
                <w:rFonts w:ascii="Arial" w:cs="Arial" w:eastAsia="Arial" w:hAnsi="Arial"/>
                <w:sz w:val="15"/>
                <w:szCs w:val="15"/>
                <w:color w:val="1A475F"/>
              </w:rPr>
              <w:t>77</w:t>
            </w:r>
          </w:p>
        </w:tc>
        <w:tc>
          <w:tcPr>
            <w:tcW w:w="7620" w:type="dxa"/>
            <w:vAlign w:val="bottom"/>
            <w:tcBorders>
              <w:right w:val="single" w:sz="8" w:color="1A475F"/>
            </w:tcBorders>
            <w:vMerge w:val="restart"/>
          </w:tcPr>
          <w:p>
            <w:pPr>
              <w:ind w:left="240"/>
              <w:spacing w:after="0"/>
              <w:rPr>
                <w:sz w:val="20"/>
                <w:szCs w:val="20"/>
                <w:color w:val="auto"/>
              </w:rPr>
            </w:pPr>
            <w:r>
              <w:rPr>
                <w:rFonts w:ascii="Arial" w:cs="Arial" w:eastAsia="Arial" w:hAnsi="Arial"/>
                <w:sz w:val="15"/>
                <w:szCs w:val="15"/>
                <w:b w:val="1"/>
                <w:bCs w:val="1"/>
                <w:i w:val="1"/>
                <w:iCs w:val="1"/>
                <w:color w:val="1A475F"/>
              </w:rPr>
              <w:t xml:space="preserve">Current public company directorships (including Bright Horizons): </w:t>
            </w:r>
            <w:r>
              <w:rPr>
                <w:rFonts w:ascii="Arial" w:cs="Arial" w:eastAsia="Arial" w:hAnsi="Arial"/>
                <w:sz w:val="15"/>
                <w:szCs w:val="15"/>
                <w:color w:val="1A475F"/>
              </w:rPr>
              <w:t>2</w:t>
            </w:r>
          </w:p>
        </w:tc>
        <w:tc>
          <w:tcPr>
            <w:tcW w:w="0" w:type="dxa"/>
            <w:vAlign w:val="bottom"/>
          </w:tcPr>
          <w:p>
            <w:pPr>
              <w:spacing w:after="0"/>
              <w:rPr>
                <w:sz w:val="1"/>
                <w:szCs w:val="1"/>
                <w:color w:val="auto"/>
              </w:rPr>
            </w:pPr>
          </w:p>
        </w:tc>
      </w:tr>
      <w:tr>
        <w:trPr>
          <w:trHeight w:val="142"/>
        </w:trPr>
        <w:tc>
          <w:tcPr>
            <w:tcW w:w="1840" w:type="dxa"/>
            <w:vAlign w:val="bottom"/>
            <w:tcBorders>
              <w:left w:val="single" w:sz="8" w:color="1A475F"/>
            </w:tcBorders>
            <w:vMerge w:val="restart"/>
          </w:tcPr>
          <w:p>
            <w:pPr>
              <w:ind w:left="140"/>
              <w:spacing w:after="0"/>
              <w:rPr>
                <w:sz w:val="20"/>
                <w:szCs w:val="20"/>
                <w:color w:val="auto"/>
              </w:rPr>
            </w:pPr>
            <w:r>
              <w:rPr>
                <w:rFonts w:ascii="Arial" w:cs="Arial" w:eastAsia="Arial" w:hAnsi="Arial"/>
                <w:sz w:val="15"/>
                <w:szCs w:val="15"/>
                <w:b w:val="1"/>
                <w:bCs w:val="1"/>
                <w:color w:val="1A475F"/>
              </w:rPr>
              <w:t xml:space="preserve">Director since: </w:t>
            </w:r>
            <w:r>
              <w:rPr>
                <w:rFonts w:ascii="Arial" w:cs="Arial" w:eastAsia="Arial" w:hAnsi="Arial"/>
                <w:sz w:val="15"/>
                <w:szCs w:val="15"/>
                <w:color w:val="1A475F"/>
              </w:rPr>
              <w:t>2001</w:t>
            </w:r>
          </w:p>
        </w:tc>
        <w:tc>
          <w:tcPr>
            <w:tcW w:w="7620" w:type="dxa"/>
            <w:vAlign w:val="bottom"/>
            <w:tcBorders>
              <w:right w:val="single" w:sz="8" w:color="1A475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840" w:type="dxa"/>
            <w:vAlign w:val="bottom"/>
            <w:tcBorders>
              <w:left w:val="single" w:sz="8" w:color="1A475F"/>
            </w:tcBorders>
            <w:vMerge w:val="continue"/>
          </w:tcPr>
          <w:p>
            <w:pPr>
              <w:spacing w:after="0"/>
              <w:rPr>
                <w:sz w:val="5"/>
                <w:szCs w:val="5"/>
                <w:color w:val="auto"/>
              </w:rPr>
            </w:pPr>
          </w:p>
        </w:tc>
        <w:tc>
          <w:tcPr>
            <w:tcW w:w="7620" w:type="dxa"/>
            <w:vAlign w:val="bottom"/>
            <w:tcBorders>
              <w:right w:val="single" w:sz="8" w:color="1A475F"/>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840" w:type="dxa"/>
            <w:vAlign w:val="bottom"/>
            <w:tcBorders>
              <w:left w:val="single" w:sz="8" w:color="1A475F"/>
            </w:tcBorders>
          </w:tcPr>
          <w:p>
            <w:pPr>
              <w:ind w:left="140"/>
              <w:spacing w:after="0"/>
              <w:rPr>
                <w:sz w:val="20"/>
                <w:szCs w:val="20"/>
                <w:color w:val="auto"/>
              </w:rPr>
            </w:pPr>
            <w:r>
              <w:rPr>
                <w:rFonts w:ascii="Arial" w:cs="Arial" w:eastAsia="Arial" w:hAnsi="Arial"/>
                <w:sz w:val="15"/>
                <w:szCs w:val="15"/>
                <w:b w:val="1"/>
                <w:bCs w:val="1"/>
                <w:color w:val="1A475F"/>
              </w:rPr>
              <w:t>Committees:</w:t>
            </w:r>
          </w:p>
        </w:tc>
        <w:tc>
          <w:tcPr>
            <w:tcW w:w="7620" w:type="dxa"/>
            <w:vAlign w:val="bottom"/>
            <w:tcBorders>
              <w:right w:val="single" w:sz="8" w:color="1A475F"/>
            </w:tcBorders>
            <w:vMerge w:val="restart"/>
          </w:tcPr>
          <w:p>
            <w:pPr>
              <w:ind w:left="240"/>
              <w:spacing w:after="0"/>
              <w:rPr>
                <w:sz w:val="20"/>
                <w:szCs w:val="20"/>
                <w:color w:val="auto"/>
              </w:rPr>
            </w:pPr>
            <w:r>
              <w:rPr>
                <w:rFonts w:ascii="Arial" w:cs="Arial" w:eastAsia="Arial" w:hAnsi="Arial"/>
                <w:sz w:val="15"/>
                <w:szCs w:val="15"/>
                <w:b w:val="1"/>
                <w:bCs w:val="1"/>
                <w:i w:val="1"/>
                <w:iCs w:val="1"/>
                <w:color w:val="1A475F"/>
              </w:rPr>
              <w:t xml:space="preserve">Qualifications: </w:t>
            </w:r>
            <w:r>
              <w:rPr>
                <w:rFonts w:ascii="Arial" w:cs="Arial" w:eastAsia="Arial" w:hAnsi="Arial"/>
                <w:sz w:val="15"/>
                <w:szCs w:val="15"/>
                <w:color w:val="1A475F"/>
              </w:rPr>
              <w:t>Ms. Tocio’s significant leadership and operational experience, including as former</w:t>
            </w:r>
          </w:p>
        </w:tc>
        <w:tc>
          <w:tcPr>
            <w:tcW w:w="0" w:type="dxa"/>
            <w:vAlign w:val="bottom"/>
          </w:tcPr>
          <w:p>
            <w:pPr>
              <w:spacing w:after="0"/>
              <w:rPr>
                <w:sz w:val="1"/>
                <w:szCs w:val="1"/>
                <w:color w:val="auto"/>
              </w:rPr>
            </w:pPr>
          </w:p>
        </w:tc>
      </w:tr>
      <w:tr>
        <w:trPr>
          <w:trHeight w:val="104"/>
        </w:trPr>
        <w:tc>
          <w:tcPr>
            <w:tcW w:w="1840" w:type="dxa"/>
            <w:vAlign w:val="bottom"/>
            <w:tcBorders>
              <w:left w:val="single" w:sz="8" w:color="1A475F"/>
            </w:tcBorders>
            <w:vMerge w:val="restart"/>
          </w:tcPr>
          <w:p>
            <w:pPr>
              <w:ind w:left="140"/>
              <w:spacing w:after="0"/>
              <w:rPr>
                <w:sz w:val="20"/>
                <w:szCs w:val="20"/>
                <w:color w:val="auto"/>
              </w:rPr>
            </w:pPr>
            <w:r>
              <w:rPr>
                <w:rFonts w:ascii="Arial" w:cs="Arial" w:eastAsia="Arial" w:hAnsi="Arial"/>
                <w:sz w:val="15"/>
                <w:szCs w:val="15"/>
                <w:color w:val="1A475F"/>
              </w:rPr>
              <w:t>•   Audit</w:t>
            </w:r>
          </w:p>
        </w:tc>
        <w:tc>
          <w:tcPr>
            <w:tcW w:w="7620" w:type="dxa"/>
            <w:vAlign w:val="bottom"/>
            <w:tcBorders>
              <w:right w:val="single" w:sz="8" w:color="1A475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840" w:type="dxa"/>
            <w:vAlign w:val="bottom"/>
            <w:tcBorders>
              <w:left w:val="single" w:sz="8" w:color="1A475F"/>
            </w:tcBorders>
            <w:vMerge w:val="continue"/>
          </w:tcPr>
          <w:p>
            <w:pPr>
              <w:spacing w:after="0"/>
              <w:rPr>
                <w:sz w:val="8"/>
                <w:szCs w:val="8"/>
                <w:color w:val="auto"/>
              </w:rPr>
            </w:pPr>
          </w:p>
        </w:tc>
        <w:tc>
          <w:tcPr>
            <w:tcW w:w="7620" w:type="dxa"/>
            <w:vAlign w:val="bottom"/>
            <w:tcBorders>
              <w:right w:val="single" w:sz="8" w:color="1A475F"/>
            </w:tcBorders>
            <w:vMerge w:val="restart"/>
          </w:tcPr>
          <w:p>
            <w:pPr>
              <w:ind w:left="240"/>
              <w:spacing w:after="0"/>
              <w:rPr>
                <w:sz w:val="20"/>
                <w:szCs w:val="20"/>
                <w:color w:val="auto"/>
              </w:rPr>
            </w:pPr>
            <w:r>
              <w:rPr>
                <w:rFonts w:ascii="Arial" w:cs="Arial" w:eastAsia="Arial" w:hAnsi="Arial"/>
                <w:sz w:val="15"/>
                <w:szCs w:val="15"/>
                <w:color w:val="1A475F"/>
              </w:rPr>
              <w:t>President and Chief Operating Officer of the Company, and her expertise with managing complex and</w:t>
            </w:r>
          </w:p>
        </w:tc>
        <w:tc>
          <w:tcPr>
            <w:tcW w:w="0" w:type="dxa"/>
            <w:vAlign w:val="bottom"/>
          </w:tcPr>
          <w:p>
            <w:pPr>
              <w:spacing w:after="0"/>
              <w:rPr>
                <w:sz w:val="1"/>
                <w:szCs w:val="1"/>
                <w:color w:val="auto"/>
              </w:rPr>
            </w:pPr>
          </w:p>
        </w:tc>
      </w:tr>
      <w:tr>
        <w:trPr>
          <w:trHeight w:val="76"/>
        </w:trPr>
        <w:tc>
          <w:tcPr>
            <w:tcW w:w="1840" w:type="dxa"/>
            <w:vAlign w:val="bottom"/>
            <w:tcBorders>
              <w:left w:val="single" w:sz="8" w:color="1A475F"/>
            </w:tcBorders>
          </w:tcPr>
          <w:p>
            <w:pPr>
              <w:spacing w:after="0"/>
              <w:rPr>
                <w:sz w:val="6"/>
                <w:szCs w:val="6"/>
                <w:color w:val="auto"/>
              </w:rPr>
            </w:pPr>
          </w:p>
        </w:tc>
        <w:tc>
          <w:tcPr>
            <w:tcW w:w="7620" w:type="dxa"/>
            <w:vAlign w:val="bottom"/>
            <w:tcBorders>
              <w:right w:val="single" w:sz="8" w:color="1A475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840" w:type="dxa"/>
            <w:vAlign w:val="bottom"/>
            <w:tcBorders>
              <w:left w:val="single" w:sz="8" w:color="1A475F"/>
            </w:tcBorders>
          </w:tcPr>
          <w:p>
            <w:pPr>
              <w:spacing w:after="0"/>
              <w:rPr>
                <w:sz w:val="15"/>
                <w:szCs w:val="15"/>
                <w:color w:val="auto"/>
              </w:rPr>
            </w:pPr>
          </w:p>
        </w:tc>
        <w:tc>
          <w:tcPr>
            <w:tcW w:w="7620" w:type="dxa"/>
            <w:vAlign w:val="bottom"/>
            <w:tcBorders>
              <w:right w:val="single" w:sz="8" w:color="1A475F"/>
            </w:tcBorders>
          </w:tcPr>
          <w:p>
            <w:pPr>
              <w:ind w:left="240"/>
              <w:spacing w:after="0"/>
              <w:rPr>
                <w:sz w:val="20"/>
                <w:szCs w:val="20"/>
                <w:color w:val="auto"/>
              </w:rPr>
            </w:pPr>
            <w:r>
              <w:rPr>
                <w:rFonts w:ascii="Arial" w:cs="Arial" w:eastAsia="Arial" w:hAnsi="Arial"/>
                <w:sz w:val="15"/>
                <w:szCs w:val="15"/>
                <w:color w:val="1A475F"/>
              </w:rPr>
              <w:t>growing organizations as well as other public company board experience render her an invaluable resource</w:t>
            </w:r>
          </w:p>
        </w:tc>
        <w:tc>
          <w:tcPr>
            <w:tcW w:w="0" w:type="dxa"/>
            <w:vAlign w:val="bottom"/>
          </w:tcPr>
          <w:p>
            <w:pPr>
              <w:spacing w:after="0"/>
              <w:rPr>
                <w:sz w:val="1"/>
                <w:szCs w:val="1"/>
                <w:color w:val="auto"/>
              </w:rPr>
            </w:pPr>
          </w:p>
        </w:tc>
      </w:tr>
      <w:tr>
        <w:trPr>
          <w:trHeight w:val="203"/>
        </w:trPr>
        <w:tc>
          <w:tcPr>
            <w:tcW w:w="1840" w:type="dxa"/>
            <w:vAlign w:val="bottom"/>
            <w:tcBorders>
              <w:left w:val="single" w:sz="8" w:color="1A475F"/>
              <w:bottom w:val="single" w:sz="8" w:color="1A475F"/>
            </w:tcBorders>
          </w:tcPr>
          <w:p>
            <w:pPr>
              <w:spacing w:after="0"/>
              <w:rPr>
                <w:sz w:val="17"/>
                <w:szCs w:val="17"/>
                <w:color w:val="auto"/>
              </w:rPr>
            </w:pPr>
          </w:p>
        </w:tc>
        <w:tc>
          <w:tcPr>
            <w:tcW w:w="7620" w:type="dxa"/>
            <w:vAlign w:val="bottom"/>
            <w:tcBorders>
              <w:bottom w:val="single" w:sz="8" w:color="1A475F"/>
              <w:right w:val="single" w:sz="8" w:color="1A475F"/>
            </w:tcBorders>
          </w:tcPr>
          <w:p>
            <w:pPr>
              <w:ind w:left="240"/>
              <w:spacing w:after="0"/>
              <w:rPr>
                <w:sz w:val="20"/>
                <w:szCs w:val="20"/>
                <w:color w:val="auto"/>
              </w:rPr>
            </w:pPr>
            <w:r>
              <w:rPr>
                <w:rFonts w:ascii="Arial" w:cs="Arial" w:eastAsia="Arial" w:hAnsi="Arial"/>
                <w:sz w:val="15"/>
                <w:szCs w:val="15"/>
                <w:color w:val="1A475F"/>
              </w:rPr>
              <w:t>as a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-1939925</wp:posOffset>
            </wp:positionV>
            <wp:extent cx="955675" cy="948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5675" cy="948055"/>
                    </a:xfrm>
                    <a:prstGeom prst="rect">
                      <a:avLst/>
                    </a:prstGeom>
                    <a:noFill/>
                  </pic:spPr>
                </pic:pic>
              </a:graphicData>
            </a:graphic>
          </wp:anchor>
        </w:drawing>
      </w:r>
    </w:p>
    <w:p>
      <w:pPr>
        <w:spacing w:after="0" w:line="91" w:lineRule="exact"/>
        <w:rPr>
          <w:sz w:val="20"/>
          <w:szCs w:val="20"/>
          <w:color w:val="auto"/>
        </w:rPr>
      </w:pPr>
    </w:p>
    <w:p>
      <w:pPr>
        <w:ind w:left="1200" w:hanging="299"/>
        <w:spacing w:after="0"/>
        <w:tabs>
          <w:tab w:leader="none" w:pos="1200" w:val="left"/>
        </w:tabs>
        <w:numPr>
          <w:ilvl w:val="0"/>
          <w:numId w:val="15"/>
        </w:numPr>
        <w:rPr>
          <w:rFonts w:ascii="Arial" w:cs="Arial" w:eastAsia="Arial" w:hAnsi="Arial"/>
          <w:sz w:val="15"/>
          <w:szCs w:val="15"/>
          <w:b w:val="1"/>
          <w:bCs w:val="1"/>
          <w:color w:val="1A475F"/>
        </w:rPr>
      </w:pPr>
      <w:r>
        <w:rPr>
          <w:rFonts w:ascii="Arial" w:cs="Arial" w:eastAsia="Arial" w:hAnsi="Arial"/>
          <w:sz w:val="15"/>
          <w:szCs w:val="15"/>
          <w:b w:val="1"/>
          <w:bCs w:val="1"/>
          <w:color w:val="1A475F"/>
        </w:rPr>
        <w:t>|    Bright Horizons </w:t>
      </w:r>
    </w:p>
    <w:p>
      <w:pPr>
        <w:sectPr>
          <w:pgSz w:w="11900" w:h="16838" w:orient="portrait"/>
          <w:cols w:equalWidth="0" w:num="1">
            <w:col w:w="10360"/>
          </w:cols>
          <w:pgMar w:left="320" w:top="433" w:right="12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1A475F"/>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97575" cy="146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00" w:right="420" w:firstLine="756"/>
        <w:spacing w:after="0" w:line="261" w:lineRule="auto"/>
        <w:rPr>
          <w:sz w:val="20"/>
          <w:szCs w:val="20"/>
          <w:color w:val="auto"/>
        </w:rPr>
      </w:pPr>
      <w:r>
        <w:rPr>
          <w:rFonts w:ascii="Arial" w:cs="Arial" w:eastAsia="Arial" w:hAnsi="Arial"/>
          <w:sz w:val="15"/>
          <w:szCs w:val="15"/>
          <w:color w:val="1A475F"/>
        </w:rPr>
        <w:t>The Company’s director compensation program for non-employee directors is intended to be competitive in attracting and recruiting new Board candidates, as well as retaining current Board members, and to align our directors’ interests with those of our shareholders.</w:t>
      </w:r>
    </w:p>
    <w:p>
      <w:pPr>
        <w:spacing w:after="0" w:line="143" w:lineRule="exact"/>
        <w:rPr>
          <w:sz w:val="20"/>
          <w:szCs w:val="20"/>
          <w:color w:val="auto"/>
        </w:rPr>
      </w:pPr>
    </w:p>
    <w:p>
      <w:pPr>
        <w:ind w:left="900" w:firstLine="756"/>
        <w:spacing w:after="0" w:line="251" w:lineRule="auto"/>
        <w:rPr>
          <w:sz w:val="20"/>
          <w:szCs w:val="20"/>
          <w:color w:val="auto"/>
        </w:rPr>
      </w:pPr>
      <w:r>
        <w:rPr>
          <w:rFonts w:ascii="Arial" w:cs="Arial" w:eastAsia="Arial" w:hAnsi="Arial"/>
          <w:sz w:val="15"/>
          <w:szCs w:val="15"/>
          <w:color w:val="1A475F"/>
        </w:rPr>
        <w:t>In 2024, the Compensation Committee reviewed the overall compensation program for the Board and engaged an independent compensation consultant, Meridian Compensation Partners, LLC (“Meridian”), to review the program and make recommendations to better align the program with market practice. In keeping with the Company’s overall compensation philosophy and with input from Meridian comprising market trends, including general market studies, the Board approved a new Board compensation program for non-employee directors effective January 1, 2025.</w:t>
      </w:r>
    </w:p>
    <w:p>
      <w:pPr>
        <w:spacing w:after="0" w:line="151" w:lineRule="exact"/>
        <w:rPr>
          <w:sz w:val="20"/>
          <w:szCs w:val="20"/>
          <w:color w:val="auto"/>
        </w:rPr>
      </w:pPr>
    </w:p>
    <w:p>
      <w:pPr>
        <w:ind w:left="900" w:right="20" w:firstLine="756"/>
        <w:spacing w:after="0" w:line="255" w:lineRule="auto"/>
        <w:rPr>
          <w:sz w:val="20"/>
          <w:szCs w:val="20"/>
          <w:color w:val="auto"/>
        </w:rPr>
      </w:pPr>
      <w:r>
        <w:rPr>
          <w:rFonts w:ascii="Arial" w:cs="Arial" w:eastAsia="Arial" w:hAnsi="Arial"/>
          <w:sz w:val="15"/>
          <w:szCs w:val="15"/>
          <w:color w:val="1A475F"/>
        </w:rPr>
        <w:t>In connection with the engagement of Meridian, the Compensation Committee determined that Meridian and the individual consultants that work with the Compensation Committee are independent and do not have any economic interests in or other relationships with the Company or the Compensation Committee members that would conflict with their obligation to provide the Compensation Committee with impartial and objective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117475</wp:posOffset>
            </wp:positionV>
            <wp:extent cx="5997575" cy="183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Annual Cash Compensation</w:t>
      </w:r>
    </w:p>
    <w:p>
      <w:pPr>
        <w:spacing w:after="0" w:line="154" w:lineRule="exact"/>
        <w:rPr>
          <w:sz w:val="20"/>
          <w:szCs w:val="20"/>
          <w:color w:val="auto"/>
        </w:rPr>
      </w:pPr>
    </w:p>
    <w:p>
      <w:pPr>
        <w:ind w:left="900" w:right="160" w:firstLine="756"/>
        <w:spacing w:after="0" w:line="261" w:lineRule="auto"/>
        <w:rPr>
          <w:sz w:val="20"/>
          <w:szCs w:val="20"/>
          <w:color w:val="auto"/>
        </w:rPr>
      </w:pPr>
      <w:r>
        <w:rPr>
          <w:rFonts w:ascii="Arial" w:cs="Arial" w:eastAsia="Arial" w:hAnsi="Arial"/>
          <w:sz w:val="15"/>
          <w:szCs w:val="15"/>
          <w:color w:val="1A475F"/>
        </w:rPr>
        <w:t>Our non-employee directors receive the below annual retainers for their service on the Board and Board committees. If a non-employee director does not serve on the Board or committee for the full year, the Board and any applicable committee retainers and equity grants, as described below, are generally pro-rated.</w:t>
      </w:r>
    </w:p>
    <w:p>
      <w:pPr>
        <w:spacing w:after="0" w:line="173" w:lineRule="exact"/>
        <w:rPr>
          <w:sz w:val="20"/>
          <w:szCs w:val="20"/>
          <w:color w:val="auto"/>
        </w:rPr>
      </w:pPr>
    </w:p>
    <w:tbl>
      <w:tblPr>
        <w:tblLayout w:type="fixed"/>
        <w:tblInd w:w="2420" w:type="dxa"/>
        <w:tblCellMar>
          <w:top w:w="0" w:type="dxa"/>
          <w:left w:w="0" w:type="dxa"/>
          <w:bottom w:w="0" w:type="dxa"/>
          <w:right w:w="0" w:type="dxa"/>
        </w:tblCellMar>
      </w:tblPr>
      <w:tr>
        <w:trPr>
          <w:trHeight w:val="139"/>
        </w:trPr>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1A475F"/>
              </w:rPr>
              <w:t>2025 Board</w:t>
            </w: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1A475F"/>
              </w:rPr>
              <w:t>Compensation</w:t>
            </w:r>
          </w:p>
        </w:tc>
        <w:tc>
          <w:tcPr>
            <w:tcW w:w="0" w:type="dxa"/>
            <w:vAlign w:val="bottom"/>
          </w:tcPr>
          <w:p>
            <w:pPr>
              <w:spacing w:after="0"/>
              <w:rPr>
                <w:sz w:val="1"/>
                <w:szCs w:val="1"/>
                <w:color w:val="auto"/>
              </w:rPr>
            </w:pPr>
          </w:p>
        </w:tc>
      </w:tr>
      <w:tr>
        <w:trPr>
          <w:trHeight w:val="147"/>
        </w:trPr>
        <w:tc>
          <w:tcPr>
            <w:tcW w:w="4600" w:type="dxa"/>
            <w:vAlign w:val="bottom"/>
            <w:vMerge w:val="restart"/>
          </w:tcPr>
          <w:p>
            <w:pPr>
              <w:spacing w:after="0"/>
              <w:rPr>
                <w:sz w:val="20"/>
                <w:szCs w:val="20"/>
                <w:color w:val="auto"/>
              </w:rPr>
            </w:pPr>
            <w:r>
              <w:rPr>
                <w:rFonts w:ascii="Arial" w:cs="Arial" w:eastAsia="Arial" w:hAnsi="Arial"/>
                <w:sz w:val="12"/>
                <w:szCs w:val="12"/>
                <w:b w:val="1"/>
                <w:bCs w:val="1"/>
                <w:color w:val="1A475F"/>
              </w:rPr>
              <w:t>Board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1A475F"/>
              </w:rPr>
              <w:t>Program</w:t>
            </w:r>
          </w:p>
        </w:tc>
        <w:tc>
          <w:tcPr>
            <w:tcW w:w="0" w:type="dxa"/>
            <w:vAlign w:val="bottom"/>
          </w:tcPr>
          <w:p>
            <w:pPr>
              <w:spacing w:after="0"/>
              <w:rPr>
                <w:sz w:val="1"/>
                <w:szCs w:val="1"/>
                <w:color w:val="auto"/>
              </w:rPr>
            </w:pPr>
          </w:p>
        </w:tc>
      </w:tr>
      <w:tr>
        <w:trPr>
          <w:trHeight w:val="130"/>
        </w:trPr>
        <w:tc>
          <w:tcPr>
            <w:tcW w:w="460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5"/>
              <w:spacing w:after="0" w:line="131" w:lineRule="exact"/>
              <w:rPr>
                <w:sz w:val="20"/>
                <w:szCs w:val="20"/>
                <w:color w:val="auto"/>
              </w:rPr>
            </w:pPr>
            <w:r>
              <w:rPr>
                <w:rFonts w:ascii="Arial" w:cs="Arial" w:eastAsia="Arial" w:hAnsi="Arial"/>
                <w:sz w:val="11"/>
                <w:szCs w:val="11"/>
                <w:b w:val="1"/>
                <w:bCs w:val="1"/>
                <w:color w:val="1A475F"/>
              </w:rPr>
              <w:t>Chair</w:t>
            </w:r>
            <w:r>
              <w:rPr>
                <w:rFonts w:ascii="Arial" w:cs="Arial" w:eastAsia="Arial" w:hAnsi="Arial"/>
                <w:sz w:val="15"/>
                <w:szCs w:val="15"/>
                <w:b w:val="1"/>
                <w:bCs w:val="1"/>
                <w:color w:val="1A475F"/>
                <w:vertAlign w:val="superscript"/>
              </w:rPr>
              <w:t>(1)</w:t>
            </w:r>
          </w:p>
        </w:tc>
        <w:tc>
          <w:tcPr>
            <w:tcW w:w="36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ind w:left="20"/>
              <w:spacing w:after="0" w:line="130" w:lineRule="exact"/>
              <w:rPr>
                <w:sz w:val="20"/>
                <w:szCs w:val="20"/>
                <w:color w:val="auto"/>
              </w:rPr>
            </w:pPr>
            <w:r>
              <w:rPr>
                <w:rFonts w:ascii="Arial" w:cs="Arial" w:eastAsia="Arial" w:hAnsi="Arial"/>
                <w:sz w:val="12"/>
                <w:szCs w:val="12"/>
                <w:b w:val="1"/>
                <w:bCs w:val="1"/>
                <w:color w:val="1A475F"/>
                <w:w w:val="99"/>
              </w:rPr>
              <w:t>Member</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600" w:type="dxa"/>
            <w:vAlign w:val="bottom"/>
            <w:shd w:val="clear" w:color="auto" w:fill="CCEEFF"/>
          </w:tcPr>
          <w:p>
            <w:pPr>
              <w:spacing w:after="0" w:line="154" w:lineRule="exact"/>
              <w:rPr>
                <w:sz w:val="20"/>
                <w:szCs w:val="20"/>
                <w:color w:val="auto"/>
              </w:rPr>
            </w:pPr>
            <w:r>
              <w:rPr>
                <w:rFonts w:ascii="Arial" w:cs="Arial" w:eastAsia="Arial" w:hAnsi="Arial"/>
                <w:sz w:val="14"/>
                <w:szCs w:val="14"/>
                <w:color w:val="1A475F"/>
              </w:rPr>
              <w:t>Annual Retainer</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52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1A475F"/>
                <w:w w:val="98"/>
              </w:rPr>
              <w:t>175,000</w:t>
            </w: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line="154" w:lineRule="exact"/>
              <w:rPr>
                <w:sz w:val="20"/>
                <w:szCs w:val="20"/>
                <w:color w:val="auto"/>
              </w:rPr>
            </w:pPr>
            <w:r>
              <w:rPr>
                <w:rFonts w:ascii="Arial" w:cs="Arial" w:eastAsia="Arial" w:hAnsi="Arial"/>
                <w:sz w:val="14"/>
                <w:szCs w:val="14"/>
                <w:color w:val="1A475F"/>
                <w:w w:val="94"/>
              </w:rPr>
              <w:t>$75,000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2"/>
                <w:szCs w:val="12"/>
                <w:b w:val="1"/>
                <w:bCs w:val="1"/>
                <w:color w:val="1A475F"/>
              </w:rPr>
              <w:t>Committee</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jc w:val="right"/>
              <w:ind w:right="15"/>
              <w:spacing w:after="0"/>
              <w:rPr>
                <w:sz w:val="20"/>
                <w:szCs w:val="20"/>
                <w:color w:val="auto"/>
              </w:rPr>
            </w:pPr>
            <w:r>
              <w:rPr>
                <w:rFonts w:ascii="Arial" w:cs="Arial" w:eastAsia="Arial" w:hAnsi="Arial"/>
                <w:sz w:val="12"/>
                <w:szCs w:val="12"/>
                <w:b w:val="1"/>
                <w:bCs w:val="1"/>
                <w:color w:val="1A475F"/>
                <w:w w:val="92"/>
              </w:rPr>
              <w:t>Chair</w:t>
            </w:r>
            <w:r>
              <w:rPr>
                <w:rFonts w:ascii="Arial" w:cs="Arial" w:eastAsia="Arial" w:hAnsi="Arial"/>
                <w:sz w:val="18"/>
                <w:szCs w:val="18"/>
                <w:b w:val="1"/>
                <w:bCs w:val="1"/>
                <w:color w:val="1A475F"/>
                <w:w w:val="92"/>
                <w:vertAlign w:val="superscript"/>
              </w:rPr>
              <w:t>(2)</w:t>
            </w:r>
          </w:p>
        </w:tc>
        <w:tc>
          <w:tcPr>
            <w:tcW w:w="36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1A475F"/>
              </w:rPr>
              <w:t>Member</w:t>
            </w:r>
          </w:p>
        </w:tc>
        <w:tc>
          <w:tcPr>
            <w:tcW w:w="0" w:type="dxa"/>
            <w:vAlign w:val="bottom"/>
          </w:tcPr>
          <w:p>
            <w:pPr>
              <w:spacing w:after="0"/>
              <w:rPr>
                <w:sz w:val="1"/>
                <w:szCs w:val="1"/>
                <w:color w:val="auto"/>
              </w:rPr>
            </w:pPr>
          </w:p>
        </w:tc>
      </w:tr>
      <w:tr>
        <w:trPr>
          <w:trHeight w:val="154"/>
        </w:trPr>
        <w:tc>
          <w:tcPr>
            <w:tcW w:w="460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4"/>
                <w:szCs w:val="14"/>
                <w:color w:val="1A475F"/>
              </w:rPr>
              <w:t>Audit Committee</w:t>
            </w:r>
          </w:p>
        </w:tc>
        <w:tc>
          <w:tcPr>
            <w:tcW w:w="3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5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1A475F"/>
              </w:rPr>
              <w:t>25,000</w:t>
            </w:r>
          </w:p>
        </w:tc>
        <w:tc>
          <w:tcPr>
            <w:tcW w:w="3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4"/>
                <w:szCs w:val="14"/>
                <w:color w:val="1A475F"/>
                <w:w w:val="94"/>
              </w:rPr>
              <w:t>$12,500</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Arial" w:cs="Arial" w:eastAsia="Arial" w:hAnsi="Arial"/>
                <w:sz w:val="14"/>
                <w:szCs w:val="14"/>
                <w:color w:val="1A475F"/>
              </w:rPr>
              <w:t>Compensation Committee</w:t>
            </w:r>
          </w:p>
        </w:tc>
        <w:tc>
          <w:tcPr>
            <w:tcW w:w="380" w:type="dxa"/>
            <w:vAlign w:val="bottom"/>
            <w:gridSpan w:val="2"/>
          </w:tcPr>
          <w:p>
            <w:pPr>
              <w:jc w:val="right"/>
              <w:spacing w:after="0"/>
              <w:rPr>
                <w:sz w:val="20"/>
                <w:szCs w:val="20"/>
                <w:color w:val="auto"/>
              </w:rPr>
            </w:pPr>
            <w:r>
              <w:rPr>
                <w:rFonts w:ascii="Arial" w:cs="Arial" w:eastAsia="Arial" w:hAnsi="Arial"/>
                <w:sz w:val="14"/>
                <w:szCs w:val="14"/>
                <w:color w:val="1A475F"/>
              </w:rPr>
              <w:t>$</w:t>
            </w:r>
          </w:p>
        </w:tc>
        <w:tc>
          <w:tcPr>
            <w:tcW w:w="520" w:type="dxa"/>
            <w:vAlign w:val="bottom"/>
          </w:tcPr>
          <w:p>
            <w:pPr>
              <w:jc w:val="right"/>
              <w:spacing w:after="0"/>
              <w:rPr>
                <w:sz w:val="20"/>
                <w:szCs w:val="20"/>
                <w:color w:val="auto"/>
              </w:rPr>
            </w:pPr>
            <w:r>
              <w:rPr>
                <w:rFonts w:ascii="Arial" w:cs="Arial" w:eastAsia="Arial" w:hAnsi="Arial"/>
                <w:sz w:val="14"/>
                <w:szCs w:val="14"/>
                <w:color w:val="1A475F"/>
              </w:rPr>
              <w:t>15,000</w:t>
            </w:r>
          </w:p>
        </w:tc>
        <w:tc>
          <w:tcPr>
            <w:tcW w:w="860" w:type="dxa"/>
            <w:vAlign w:val="bottom"/>
            <w:gridSpan w:val="2"/>
          </w:tcPr>
          <w:p>
            <w:pPr>
              <w:ind w:left="360"/>
              <w:spacing w:after="0"/>
              <w:rPr>
                <w:sz w:val="20"/>
                <w:szCs w:val="20"/>
                <w:color w:val="auto"/>
              </w:rPr>
            </w:pPr>
            <w:r>
              <w:rPr>
                <w:rFonts w:ascii="Arial" w:cs="Arial" w:eastAsia="Arial" w:hAnsi="Arial"/>
                <w:sz w:val="14"/>
                <w:szCs w:val="14"/>
                <w:color w:val="1A475F"/>
                <w:w w:val="94"/>
              </w:rPr>
              <w:t>$10,000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4"/>
                <w:szCs w:val="14"/>
                <w:color w:val="1A475F"/>
              </w:rPr>
              <w:t>Nominating and Corporate Governance Committee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A475F"/>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15,000</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1A475F"/>
                <w:w w:val="94"/>
              </w:rPr>
              <w:t>$10,000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00" w:type="dxa"/>
            <w:vAlign w:val="bottom"/>
          </w:tcPr>
          <w:p>
            <w:pPr>
              <w:spacing w:after="0"/>
              <w:rPr>
                <w:sz w:val="20"/>
                <w:szCs w:val="20"/>
                <w:color w:val="auto"/>
              </w:rPr>
            </w:pPr>
            <w:r>
              <w:rPr>
                <w:rFonts w:ascii="Arial" w:cs="Arial" w:eastAsia="Arial" w:hAnsi="Arial"/>
                <w:sz w:val="14"/>
                <w:szCs w:val="14"/>
                <w:color w:val="1A475F"/>
              </w:rPr>
              <w:t>Special Committee</w:t>
            </w:r>
          </w:p>
        </w:tc>
        <w:tc>
          <w:tcPr>
            <w:tcW w:w="380" w:type="dxa"/>
            <w:vAlign w:val="bottom"/>
            <w:gridSpan w:val="2"/>
          </w:tcPr>
          <w:p>
            <w:pPr>
              <w:jc w:val="right"/>
              <w:spacing w:after="0"/>
              <w:rPr>
                <w:sz w:val="20"/>
                <w:szCs w:val="20"/>
                <w:color w:val="auto"/>
              </w:rPr>
            </w:pPr>
            <w:r>
              <w:rPr>
                <w:rFonts w:ascii="Arial" w:cs="Arial" w:eastAsia="Arial" w:hAnsi="Arial"/>
                <w:sz w:val="14"/>
                <w:szCs w:val="14"/>
                <w:color w:val="1A475F"/>
              </w:rPr>
              <w:t>$</w:t>
            </w:r>
          </w:p>
        </w:tc>
        <w:tc>
          <w:tcPr>
            <w:tcW w:w="520" w:type="dxa"/>
            <w:vAlign w:val="bottom"/>
          </w:tcPr>
          <w:p>
            <w:pPr>
              <w:jc w:val="right"/>
              <w:spacing w:after="0"/>
              <w:rPr>
                <w:sz w:val="20"/>
                <w:szCs w:val="20"/>
                <w:color w:val="auto"/>
              </w:rPr>
            </w:pPr>
            <w:r>
              <w:rPr>
                <w:rFonts w:ascii="Arial" w:cs="Arial" w:eastAsia="Arial" w:hAnsi="Arial"/>
                <w:sz w:val="14"/>
                <w:szCs w:val="14"/>
                <w:color w:val="1A475F"/>
              </w:rPr>
              <w:t>5,000</w:t>
            </w:r>
          </w:p>
        </w:tc>
        <w:tc>
          <w:tcPr>
            <w:tcW w:w="860" w:type="dxa"/>
            <w:vAlign w:val="bottom"/>
            <w:gridSpan w:val="2"/>
          </w:tcPr>
          <w:p>
            <w:pPr>
              <w:ind w:left="360"/>
              <w:spacing w:after="0"/>
              <w:rPr>
                <w:sz w:val="20"/>
                <w:szCs w:val="20"/>
                <w:color w:val="auto"/>
              </w:rPr>
            </w:pPr>
            <w:r>
              <w:rPr>
                <w:rFonts w:ascii="Arial" w:cs="Arial" w:eastAsia="Arial" w:hAnsi="Arial"/>
                <w:sz w:val="14"/>
                <w:szCs w:val="14"/>
                <w:color w:val="1A475F"/>
              </w:rPr>
              <w:t>$ 5,000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1472565</wp:posOffset>
            </wp:positionH>
            <wp:positionV relativeFrom="paragraph">
              <wp:posOffset>67310</wp:posOffset>
            </wp:positionV>
            <wp:extent cx="53657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6575" cy="7620"/>
                    </a:xfrm>
                    <a:prstGeom prst="rect">
                      <a:avLst/>
                    </a:prstGeom>
                    <a:noFill/>
                  </pic:spPr>
                </pic:pic>
              </a:graphicData>
            </a:graphic>
          </wp:anchor>
        </w:drawing>
      </w:r>
    </w:p>
    <w:p>
      <w:pPr>
        <w:spacing w:after="0" w:line="112" w:lineRule="exact"/>
        <w:rPr>
          <w:sz w:val="20"/>
          <w:szCs w:val="20"/>
          <w:color w:val="auto"/>
        </w:rPr>
      </w:pPr>
    </w:p>
    <w:p>
      <w:pPr>
        <w:ind w:left="2860" w:right="100" w:hanging="269"/>
        <w:spacing w:after="0" w:line="252" w:lineRule="auto"/>
        <w:tabs>
          <w:tab w:leader="none" w:pos="2860" w:val="left"/>
        </w:tabs>
        <w:numPr>
          <w:ilvl w:val="0"/>
          <w:numId w:val="16"/>
        </w:numPr>
        <w:rPr>
          <w:rFonts w:ascii="Arial" w:cs="Arial" w:eastAsia="Arial" w:hAnsi="Arial"/>
          <w:sz w:val="12"/>
          <w:szCs w:val="12"/>
          <w:color w:val="1A475F"/>
        </w:rPr>
      </w:pPr>
      <w:r>
        <w:rPr>
          <w:rFonts w:ascii="Arial" w:cs="Arial" w:eastAsia="Arial" w:hAnsi="Arial"/>
          <w:sz w:val="12"/>
          <w:szCs w:val="12"/>
          <w:color w:val="1A475F"/>
        </w:rPr>
        <w:t>The Board Chair fee is in recognition of the leadership, expertise, and industry experience that Mr. Lissy brings to the role as well as his counsel and assistance on various strategic initiatives. Mr. Lissy does not receive an additional Board member retainer.</w:t>
      </w:r>
    </w:p>
    <w:p>
      <w:pPr>
        <w:ind w:left="2860" w:hanging="269"/>
        <w:spacing w:after="0"/>
        <w:tabs>
          <w:tab w:leader="none" w:pos="2860" w:val="left"/>
        </w:tabs>
        <w:numPr>
          <w:ilvl w:val="0"/>
          <w:numId w:val="16"/>
        </w:numPr>
        <w:rPr>
          <w:rFonts w:ascii="Arial" w:cs="Arial" w:eastAsia="Arial" w:hAnsi="Arial"/>
          <w:sz w:val="12"/>
          <w:szCs w:val="12"/>
          <w:color w:val="1A475F"/>
        </w:rPr>
      </w:pPr>
      <w:r>
        <w:rPr>
          <w:rFonts w:ascii="Arial" w:cs="Arial" w:eastAsia="Arial" w:hAnsi="Arial"/>
          <w:sz w:val="12"/>
          <w:szCs w:val="12"/>
          <w:color w:val="1A475F"/>
        </w:rPr>
        <w:t>Committee Chairs do not receive an additional committee member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130175</wp:posOffset>
            </wp:positionV>
            <wp:extent cx="5997575" cy="183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2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Annual Equity Grant</w:t>
      </w:r>
    </w:p>
    <w:p>
      <w:pPr>
        <w:spacing w:after="0" w:line="154" w:lineRule="exact"/>
        <w:rPr>
          <w:sz w:val="20"/>
          <w:szCs w:val="20"/>
          <w:color w:val="auto"/>
        </w:rPr>
      </w:pPr>
    </w:p>
    <w:p>
      <w:pPr>
        <w:ind w:left="900" w:right="160" w:firstLine="756"/>
        <w:spacing w:after="0" w:line="255" w:lineRule="auto"/>
        <w:rPr>
          <w:sz w:val="20"/>
          <w:szCs w:val="20"/>
          <w:color w:val="auto"/>
        </w:rPr>
      </w:pPr>
      <w:r>
        <w:rPr>
          <w:rFonts w:ascii="Arial" w:cs="Arial" w:eastAsia="Arial" w:hAnsi="Arial"/>
          <w:sz w:val="15"/>
          <w:szCs w:val="15"/>
          <w:color w:val="1A475F"/>
        </w:rPr>
        <w:t>Annually, each non-employee director receives an equity grant of restricted stock units (“Director RSUs”) valued at $125,000. The number of Director RSUs are determined by dividing the grant value by the closing price of the Company’s common stock on the NYSE on the date of grant. Director RSUs are fully vested on the grant date and settled on the earliest of (1) the director’s termination of service as a member of the Board, (2) the fifth anniversary of the grant date, or (3) a change of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117475</wp:posOffset>
            </wp:positionV>
            <wp:extent cx="5997575" cy="183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Expense Reimbursements</w:t>
      </w:r>
    </w:p>
    <w:p>
      <w:pPr>
        <w:spacing w:after="0" w:line="154" w:lineRule="exact"/>
        <w:rPr>
          <w:sz w:val="20"/>
          <w:szCs w:val="20"/>
          <w:color w:val="auto"/>
        </w:rPr>
      </w:pPr>
    </w:p>
    <w:p>
      <w:pPr>
        <w:ind w:left="900" w:right="440" w:firstLine="756"/>
        <w:spacing w:after="0" w:line="282" w:lineRule="auto"/>
        <w:rPr>
          <w:sz w:val="20"/>
          <w:szCs w:val="20"/>
          <w:color w:val="auto"/>
        </w:rPr>
      </w:pPr>
      <w:r>
        <w:rPr>
          <w:rFonts w:ascii="Arial" w:cs="Arial" w:eastAsia="Arial" w:hAnsi="Arial"/>
          <w:sz w:val="15"/>
          <w:szCs w:val="15"/>
          <w:color w:val="1A475F"/>
        </w:rPr>
        <w:t>The Company reimburses Board members for reasonable out-of-pocket expenses incurred in attending Board and Board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104775</wp:posOffset>
            </wp:positionV>
            <wp:extent cx="5997575" cy="183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18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Stock Ownership Guidelines</w:t>
      </w:r>
    </w:p>
    <w:p>
      <w:pPr>
        <w:spacing w:after="0" w:line="154" w:lineRule="exact"/>
        <w:rPr>
          <w:sz w:val="20"/>
          <w:szCs w:val="20"/>
          <w:color w:val="auto"/>
        </w:rPr>
      </w:pPr>
    </w:p>
    <w:p>
      <w:pPr>
        <w:ind w:left="900" w:firstLine="756"/>
        <w:spacing w:after="0" w:line="261" w:lineRule="auto"/>
        <w:rPr>
          <w:sz w:val="20"/>
          <w:szCs w:val="20"/>
          <w:color w:val="auto"/>
        </w:rPr>
      </w:pPr>
      <w:r>
        <w:rPr>
          <w:rFonts w:ascii="Arial" w:cs="Arial" w:eastAsia="Arial" w:hAnsi="Arial"/>
          <w:sz w:val="15"/>
          <w:szCs w:val="15"/>
          <w:color w:val="1A475F"/>
        </w:rPr>
        <w:t>The Board has adopted minimum stock ownership guidelines for non-employee directors. Non-employee directors are expected to own Company shares with a market value equal to five times (5x) the annual Board cash retainer and have five years from the date of their appointment to the Board to achieve this threshold.</w:t>
      </w:r>
    </w:p>
    <w:p>
      <w:pPr>
        <w:spacing w:after="0" w:line="143" w:lineRule="exact"/>
        <w:rPr>
          <w:sz w:val="20"/>
          <w:szCs w:val="20"/>
          <w:color w:val="auto"/>
        </w:rPr>
      </w:pPr>
    </w:p>
    <w:p>
      <w:pPr>
        <w:ind w:left="900" w:right="240" w:firstLine="756"/>
        <w:spacing w:after="0" w:line="261" w:lineRule="auto"/>
        <w:rPr>
          <w:sz w:val="20"/>
          <w:szCs w:val="20"/>
          <w:color w:val="auto"/>
        </w:rPr>
      </w:pPr>
      <w:r>
        <w:rPr>
          <w:rFonts w:ascii="Arial" w:cs="Arial" w:eastAsia="Arial" w:hAnsi="Arial"/>
          <w:sz w:val="15"/>
          <w:szCs w:val="15"/>
          <w:color w:val="1A475F"/>
        </w:rPr>
        <w:t>As of December 31, 2025, each of our non-employee directors have met or exceeded this stock ownership requirement with the exception of Ms. Schulz who was appointed in September 2024 and has five (5) years from the date of appointment to meet this requirement.</w:t>
      </w:r>
    </w:p>
    <w:p>
      <w:pPr>
        <w:spacing w:after="0" w:line="83" w:lineRule="exact"/>
        <w:rPr>
          <w:sz w:val="20"/>
          <w:szCs w:val="20"/>
          <w:color w:val="auto"/>
        </w:rPr>
      </w:pPr>
    </w:p>
    <w:p>
      <w:pPr>
        <w:jc w:val="right"/>
        <w:spacing w:after="0"/>
        <w:tabs>
          <w:tab w:leader="none" w:pos="320" w:val="left"/>
          <w:tab w:leader="none" w:pos="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9</w:t>
      </w:r>
    </w:p>
    <w:p>
      <w:pPr>
        <w:sectPr>
          <w:pgSz w:w="11900" w:h="16838" w:orient="portrait"/>
          <w:cols w:equalWidth="0" w:num="1">
            <w:col w:w="10340"/>
          </w:cols>
          <w:pgMar w:left="320" w:top="433" w:right="1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189230</wp:posOffset>
            </wp:positionV>
            <wp:extent cx="5997575" cy="183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2025 Director Compensation</w:t>
      </w:r>
    </w:p>
    <w:p>
      <w:pPr>
        <w:spacing w:after="0" w:line="154" w:lineRule="exact"/>
        <w:rPr>
          <w:sz w:val="20"/>
          <w:szCs w:val="20"/>
          <w:color w:val="auto"/>
        </w:rPr>
      </w:pPr>
    </w:p>
    <w:p>
      <w:pPr>
        <w:ind w:left="900" w:right="300" w:firstLine="756"/>
        <w:spacing w:after="0" w:line="251" w:lineRule="auto"/>
        <w:rPr>
          <w:sz w:val="20"/>
          <w:szCs w:val="20"/>
          <w:color w:val="auto"/>
        </w:rPr>
      </w:pPr>
      <w:r>
        <w:rPr>
          <w:rFonts w:ascii="Arial" w:cs="Arial" w:eastAsia="Arial" w:hAnsi="Arial"/>
          <w:sz w:val="15"/>
          <w:szCs w:val="15"/>
          <w:color w:val="1A475F"/>
        </w:rPr>
        <w:t>The following table sets forth information outlining the compensation earned by our non-employee directors during the year ended December 31, 2025 and reflects the prior Board compensation program in effect during 2025. Compensation for Mr. Kramer, as Chief Executive Officer, is included in the “Summary Compensation Table” and the supplemental tables under the heading “Executive Compensation” included elsewhere in this Proxy Statement. Mr. Kramer did not receive any additional compensation for serving on the Board during 2025.</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139"/>
        </w:trPr>
        <w:tc>
          <w:tcPr>
            <w:tcW w:w="6680" w:type="dxa"/>
            <w:vAlign w:val="bottom"/>
          </w:tcPr>
          <w:p>
            <w:pPr>
              <w:spacing w:after="0"/>
              <w:rPr>
                <w:sz w:val="12"/>
                <w:szCs w:val="12"/>
                <w:color w:val="auto"/>
              </w:rPr>
            </w:pPr>
          </w:p>
        </w:tc>
        <w:tc>
          <w:tcPr>
            <w:tcW w:w="940" w:type="dxa"/>
            <w:vAlign w:val="bottom"/>
            <w:gridSpan w:val="2"/>
          </w:tcPr>
          <w:p>
            <w:pPr>
              <w:jc w:val="center"/>
              <w:ind w:left="85"/>
              <w:spacing w:after="0"/>
              <w:rPr>
                <w:sz w:val="20"/>
                <w:szCs w:val="20"/>
                <w:color w:val="auto"/>
              </w:rPr>
            </w:pPr>
            <w:r>
              <w:rPr>
                <w:rFonts w:ascii="Arial" w:cs="Arial" w:eastAsia="Arial" w:hAnsi="Arial"/>
                <w:sz w:val="12"/>
                <w:szCs w:val="12"/>
                <w:b w:val="1"/>
                <w:bCs w:val="1"/>
                <w:color w:val="1A475F"/>
              </w:rPr>
              <w:t>Fees Earned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80" w:type="dxa"/>
            <w:vAlign w:val="bottom"/>
            <w:vMerge w:val="restart"/>
          </w:tcPr>
          <w:p>
            <w:pPr>
              <w:spacing w:after="0"/>
              <w:rPr>
                <w:sz w:val="20"/>
                <w:szCs w:val="20"/>
                <w:color w:val="auto"/>
              </w:rPr>
            </w:pPr>
            <w:r>
              <w:rPr>
                <w:rFonts w:ascii="Arial" w:cs="Arial" w:eastAsia="Arial" w:hAnsi="Arial"/>
                <w:sz w:val="12"/>
                <w:szCs w:val="12"/>
                <w:b w:val="1"/>
                <w:bCs w:val="1"/>
                <w:color w:val="1A475F"/>
              </w:rPr>
              <w:t>Director</w:t>
            </w:r>
          </w:p>
        </w:tc>
        <w:tc>
          <w:tcPr>
            <w:tcW w:w="20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1A475F"/>
              </w:rPr>
              <w:t>or Paid in</w:t>
            </w:r>
          </w:p>
        </w:tc>
        <w:tc>
          <w:tcPr>
            <w:tcW w:w="1180" w:type="dxa"/>
            <w:vAlign w:val="bottom"/>
            <w:gridSpan w:val="3"/>
          </w:tcPr>
          <w:p>
            <w:pPr>
              <w:ind w:left="180"/>
              <w:spacing w:after="0" w:line="136" w:lineRule="exact"/>
              <w:rPr>
                <w:sz w:val="20"/>
                <w:szCs w:val="20"/>
                <w:color w:val="auto"/>
              </w:rPr>
            </w:pPr>
            <w:r>
              <w:rPr>
                <w:rFonts w:ascii="Arial" w:cs="Arial" w:eastAsia="Arial" w:hAnsi="Arial"/>
                <w:sz w:val="12"/>
                <w:szCs w:val="12"/>
                <w:b w:val="1"/>
                <w:bCs w:val="1"/>
                <w:color w:val="1A475F"/>
              </w:rPr>
              <w:t>Stock Awards</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1A475F"/>
              </w:rPr>
              <w:t>Cash ($)</w:t>
            </w:r>
          </w:p>
        </w:tc>
        <w:tc>
          <w:tcPr>
            <w:tcW w:w="980" w:type="dxa"/>
            <w:vAlign w:val="bottom"/>
            <w:gridSpan w:val="2"/>
          </w:tcPr>
          <w:p>
            <w:pPr>
              <w:jc w:val="center"/>
              <w:ind w:left="89"/>
              <w:spacing w:after="0" w:line="150" w:lineRule="exact"/>
              <w:rPr>
                <w:sz w:val="20"/>
                <w:szCs w:val="20"/>
                <w:color w:val="auto"/>
              </w:rPr>
            </w:pPr>
            <w:r>
              <w:rPr>
                <w:rFonts w:ascii="Arial" w:cs="Arial" w:eastAsia="Arial" w:hAnsi="Arial"/>
                <w:sz w:val="17"/>
                <w:szCs w:val="17"/>
                <w:b w:val="1"/>
                <w:bCs w:val="1"/>
                <w:color w:val="1A475F"/>
                <w:vertAlign w:val="subscript"/>
              </w:rPr>
              <w:t>($)</w:t>
            </w:r>
            <w:r>
              <w:rPr>
                <w:rFonts w:ascii="Arial" w:cs="Arial" w:eastAsia="Arial" w:hAnsi="Arial"/>
                <w:sz w:val="8"/>
                <w:szCs w:val="8"/>
                <w:b w:val="1"/>
                <w:bCs w:val="1"/>
                <w:color w:val="1A475F"/>
              </w:rPr>
              <w:t>(2)(3)</w:t>
            </w:r>
          </w:p>
        </w:tc>
        <w:tc>
          <w:tcPr>
            <w:tcW w:w="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1A475F"/>
              </w:rPr>
              <w:t>Total ($)</w:t>
            </w:r>
          </w:p>
        </w:tc>
        <w:tc>
          <w:tcPr>
            <w:tcW w:w="0" w:type="dxa"/>
            <w:vAlign w:val="bottom"/>
          </w:tcPr>
          <w:p>
            <w:pPr>
              <w:spacing w:after="0"/>
              <w:rPr>
                <w:sz w:val="1"/>
                <w:szCs w:val="1"/>
                <w:color w:val="auto"/>
              </w:rPr>
            </w:pPr>
          </w:p>
        </w:tc>
      </w:tr>
      <w:tr>
        <w:trPr>
          <w:trHeight w:val="165"/>
        </w:trPr>
        <w:tc>
          <w:tcPr>
            <w:tcW w:w="668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color w:val="1A475F"/>
              </w:rPr>
              <w:t>Lawrence M. Alleva</w:t>
            </w:r>
          </w:p>
        </w:tc>
        <w:tc>
          <w:tcPr>
            <w:tcW w:w="2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105,000</w:t>
            </w:r>
          </w:p>
        </w:tc>
        <w:tc>
          <w:tcPr>
            <w:tcW w:w="1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125,000</w:t>
            </w: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5"/>
                <w:szCs w:val="15"/>
                <w:color w:val="1A475F"/>
              </w:rPr>
              <w:t>230,000</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80" w:type="dxa"/>
            <w:vAlign w:val="bottom"/>
          </w:tcPr>
          <w:p>
            <w:pPr>
              <w:spacing w:after="0"/>
              <w:rPr>
                <w:sz w:val="20"/>
                <w:szCs w:val="20"/>
                <w:color w:val="auto"/>
              </w:rPr>
            </w:pPr>
            <w:r>
              <w:rPr>
                <w:rFonts w:ascii="Arial" w:cs="Arial" w:eastAsia="Arial" w:hAnsi="Arial"/>
                <w:sz w:val="15"/>
                <w:szCs w:val="15"/>
                <w:color w:val="1A475F"/>
              </w:rPr>
              <w:t>Julie Atkinson</w:t>
            </w:r>
          </w:p>
        </w:tc>
        <w:tc>
          <w:tcPr>
            <w:tcW w:w="940" w:type="dxa"/>
            <w:vAlign w:val="bottom"/>
            <w:gridSpan w:val="2"/>
          </w:tcPr>
          <w:p>
            <w:pPr>
              <w:jc w:val="center"/>
              <w:ind w:left="105"/>
              <w:spacing w:after="0"/>
              <w:rPr>
                <w:sz w:val="20"/>
                <w:szCs w:val="20"/>
                <w:color w:val="auto"/>
              </w:rPr>
            </w:pPr>
            <w:r>
              <w:rPr>
                <w:rFonts w:ascii="Arial" w:cs="Arial" w:eastAsia="Arial" w:hAnsi="Arial"/>
                <w:sz w:val="15"/>
                <w:szCs w:val="15"/>
                <w:color w:val="1A475F"/>
              </w:rPr>
              <w:t>85,000</w:t>
            </w:r>
          </w:p>
        </w:tc>
        <w:tc>
          <w:tcPr>
            <w:tcW w:w="980" w:type="dxa"/>
            <w:vAlign w:val="bottom"/>
            <w:gridSpan w:val="2"/>
          </w:tcPr>
          <w:p>
            <w:pPr>
              <w:jc w:val="center"/>
              <w:ind w:left="109"/>
              <w:spacing w:after="0"/>
              <w:rPr>
                <w:sz w:val="20"/>
                <w:szCs w:val="20"/>
                <w:color w:val="auto"/>
              </w:rPr>
            </w:pPr>
            <w:r>
              <w:rPr>
                <w:rFonts w:ascii="Arial" w:cs="Arial" w:eastAsia="Arial" w:hAnsi="Arial"/>
                <w:sz w:val="15"/>
                <w:szCs w:val="15"/>
                <w:color w:val="1A475F"/>
              </w:rPr>
              <w:t>125,000</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1A475F"/>
              </w:rPr>
              <w:t>210,000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1A475F"/>
              </w:rPr>
              <w:t>Joshua Bekenstein</w:t>
            </w:r>
          </w:p>
        </w:tc>
        <w:tc>
          <w:tcPr>
            <w:tcW w:w="94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1A475F"/>
              </w:rPr>
              <w:t>85,000</w:t>
            </w:r>
          </w:p>
        </w:tc>
        <w:tc>
          <w:tcPr>
            <w:tcW w:w="980" w:type="dxa"/>
            <w:vAlign w:val="bottom"/>
            <w:gridSpan w:val="2"/>
            <w:shd w:val="clear" w:color="auto" w:fill="CCEEFF"/>
          </w:tcPr>
          <w:p>
            <w:pPr>
              <w:jc w:val="center"/>
              <w:ind w:left="109"/>
              <w:spacing w:after="0"/>
              <w:rPr>
                <w:sz w:val="20"/>
                <w:szCs w:val="20"/>
                <w:color w:val="auto"/>
              </w:rPr>
            </w:pPr>
            <w:r>
              <w:rPr>
                <w:rFonts w:ascii="Arial" w:cs="Arial" w:eastAsia="Arial" w:hAnsi="Arial"/>
                <w:sz w:val="15"/>
                <w:szCs w:val="15"/>
                <w:color w:val="1A475F"/>
              </w:rPr>
              <w:t>125,000</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1A475F"/>
              </w:rPr>
              <w:t>210,000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80" w:type="dxa"/>
            <w:vAlign w:val="bottom"/>
          </w:tcPr>
          <w:p>
            <w:pPr>
              <w:spacing w:after="0"/>
              <w:rPr>
                <w:sz w:val="20"/>
                <w:szCs w:val="20"/>
                <w:color w:val="auto"/>
              </w:rPr>
            </w:pPr>
            <w:r>
              <w:rPr>
                <w:rFonts w:ascii="Arial" w:cs="Arial" w:eastAsia="Arial" w:hAnsi="Arial"/>
                <w:sz w:val="15"/>
                <w:szCs w:val="15"/>
                <w:color w:val="1A475F"/>
              </w:rPr>
              <w:t>Jordan Hitch</w:t>
            </w:r>
          </w:p>
        </w:tc>
        <w:tc>
          <w:tcPr>
            <w:tcW w:w="940" w:type="dxa"/>
            <w:vAlign w:val="bottom"/>
            <w:gridSpan w:val="2"/>
          </w:tcPr>
          <w:p>
            <w:pPr>
              <w:jc w:val="center"/>
              <w:ind w:left="105"/>
              <w:spacing w:after="0"/>
              <w:rPr>
                <w:sz w:val="20"/>
                <w:szCs w:val="20"/>
                <w:color w:val="auto"/>
              </w:rPr>
            </w:pPr>
            <w:r>
              <w:rPr>
                <w:rFonts w:ascii="Arial" w:cs="Arial" w:eastAsia="Arial" w:hAnsi="Arial"/>
                <w:sz w:val="15"/>
                <w:szCs w:val="15"/>
                <w:color w:val="1A475F"/>
              </w:rPr>
              <w:t>100,000</w:t>
            </w:r>
          </w:p>
        </w:tc>
        <w:tc>
          <w:tcPr>
            <w:tcW w:w="980" w:type="dxa"/>
            <w:vAlign w:val="bottom"/>
            <w:gridSpan w:val="2"/>
          </w:tcPr>
          <w:p>
            <w:pPr>
              <w:jc w:val="center"/>
              <w:ind w:left="109"/>
              <w:spacing w:after="0"/>
              <w:rPr>
                <w:sz w:val="20"/>
                <w:szCs w:val="20"/>
                <w:color w:val="auto"/>
              </w:rPr>
            </w:pPr>
            <w:r>
              <w:rPr>
                <w:rFonts w:ascii="Arial" w:cs="Arial" w:eastAsia="Arial" w:hAnsi="Arial"/>
                <w:sz w:val="15"/>
                <w:szCs w:val="15"/>
                <w:color w:val="1A475F"/>
              </w:rPr>
              <w:t>125,000</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1A475F"/>
              </w:rPr>
              <w:t>225,000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1A475F"/>
              </w:rPr>
              <w:t>David H. Lissy</w:t>
            </w:r>
          </w:p>
        </w:tc>
        <w:tc>
          <w:tcPr>
            <w:tcW w:w="94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1A475F"/>
              </w:rPr>
              <w:t>175,000</w:t>
            </w:r>
          </w:p>
        </w:tc>
        <w:tc>
          <w:tcPr>
            <w:tcW w:w="980" w:type="dxa"/>
            <w:vAlign w:val="bottom"/>
            <w:gridSpan w:val="2"/>
            <w:shd w:val="clear" w:color="auto" w:fill="CCEEFF"/>
          </w:tcPr>
          <w:p>
            <w:pPr>
              <w:jc w:val="center"/>
              <w:ind w:left="109"/>
              <w:spacing w:after="0"/>
              <w:rPr>
                <w:sz w:val="20"/>
                <w:szCs w:val="20"/>
                <w:color w:val="auto"/>
              </w:rPr>
            </w:pPr>
            <w:r>
              <w:rPr>
                <w:rFonts w:ascii="Arial" w:cs="Arial" w:eastAsia="Arial" w:hAnsi="Arial"/>
                <w:sz w:val="15"/>
                <w:szCs w:val="15"/>
                <w:color w:val="1A475F"/>
              </w:rPr>
              <w:t>125,000</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1A475F"/>
              </w:rPr>
              <w:t>300,000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80" w:type="dxa"/>
            <w:vAlign w:val="bottom"/>
          </w:tcPr>
          <w:p>
            <w:pPr>
              <w:spacing w:after="0" w:line="174" w:lineRule="exact"/>
              <w:rPr>
                <w:sz w:val="20"/>
                <w:szCs w:val="20"/>
                <w:color w:val="auto"/>
              </w:rPr>
            </w:pPr>
            <w:r>
              <w:rPr>
                <w:rFonts w:ascii="Arial" w:cs="Arial" w:eastAsia="Arial" w:hAnsi="Arial"/>
                <w:sz w:val="14"/>
                <w:szCs w:val="14"/>
                <w:color w:val="1A475F"/>
              </w:rPr>
              <w:t>Cathy Minehan</w:t>
            </w:r>
            <w:r>
              <w:rPr>
                <w:rFonts w:ascii="Arial" w:cs="Arial" w:eastAsia="Arial" w:hAnsi="Arial"/>
                <w:sz w:val="20"/>
                <w:szCs w:val="20"/>
                <w:color w:val="1A475F"/>
                <w:vertAlign w:val="superscript"/>
              </w:rPr>
              <w:t>(1)</w:t>
            </w:r>
          </w:p>
        </w:tc>
        <w:tc>
          <w:tcPr>
            <w:tcW w:w="940" w:type="dxa"/>
            <w:vAlign w:val="bottom"/>
            <w:gridSpan w:val="2"/>
          </w:tcPr>
          <w:p>
            <w:pPr>
              <w:jc w:val="center"/>
              <w:ind w:left="105"/>
              <w:spacing w:after="0"/>
              <w:rPr>
                <w:sz w:val="20"/>
                <w:szCs w:val="20"/>
                <w:color w:val="auto"/>
              </w:rPr>
            </w:pPr>
            <w:r>
              <w:rPr>
                <w:rFonts w:ascii="Arial" w:cs="Arial" w:eastAsia="Arial" w:hAnsi="Arial"/>
                <w:sz w:val="15"/>
                <w:szCs w:val="15"/>
                <w:color w:val="1A475F"/>
              </w:rPr>
              <w:t>43,750</w:t>
            </w:r>
          </w:p>
        </w:tc>
        <w:tc>
          <w:tcPr>
            <w:tcW w:w="1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5"/>
                <w:szCs w:val="15"/>
                <w:color w:val="1A475F"/>
              </w:rPr>
              <w:t>—</w:t>
            </w:r>
          </w:p>
        </w:tc>
        <w:tc>
          <w:tcPr>
            <w:tcW w:w="600" w:type="dxa"/>
            <w:vAlign w:val="bottom"/>
          </w:tcPr>
          <w:p>
            <w:pPr>
              <w:jc w:val="right"/>
              <w:spacing w:after="0"/>
              <w:rPr>
                <w:sz w:val="20"/>
                <w:szCs w:val="20"/>
                <w:color w:val="auto"/>
              </w:rPr>
            </w:pPr>
            <w:r>
              <w:rPr>
                <w:rFonts w:ascii="Arial" w:cs="Arial" w:eastAsia="Arial" w:hAnsi="Arial"/>
                <w:sz w:val="15"/>
                <w:szCs w:val="15"/>
                <w:color w:val="1A475F"/>
              </w:rPr>
              <w:t>43,750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1A475F"/>
              </w:rPr>
              <w:t>Laurel J. Richie</w:t>
            </w:r>
          </w:p>
        </w:tc>
        <w:tc>
          <w:tcPr>
            <w:tcW w:w="94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1A475F"/>
              </w:rPr>
              <w:t>102,500</w:t>
            </w:r>
          </w:p>
        </w:tc>
        <w:tc>
          <w:tcPr>
            <w:tcW w:w="980" w:type="dxa"/>
            <w:vAlign w:val="bottom"/>
            <w:gridSpan w:val="2"/>
            <w:shd w:val="clear" w:color="auto" w:fill="CCEEFF"/>
          </w:tcPr>
          <w:p>
            <w:pPr>
              <w:jc w:val="center"/>
              <w:ind w:left="109"/>
              <w:spacing w:after="0"/>
              <w:rPr>
                <w:sz w:val="20"/>
                <w:szCs w:val="20"/>
                <w:color w:val="auto"/>
              </w:rPr>
            </w:pPr>
            <w:r>
              <w:rPr>
                <w:rFonts w:ascii="Arial" w:cs="Arial" w:eastAsia="Arial" w:hAnsi="Arial"/>
                <w:sz w:val="15"/>
                <w:szCs w:val="15"/>
                <w:color w:val="1A475F"/>
              </w:rPr>
              <w:t>125,000</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1A475F"/>
              </w:rPr>
              <w:t>227,500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80" w:type="dxa"/>
            <w:vAlign w:val="bottom"/>
          </w:tcPr>
          <w:p>
            <w:pPr>
              <w:spacing w:after="0"/>
              <w:rPr>
                <w:sz w:val="20"/>
                <w:szCs w:val="20"/>
                <w:color w:val="auto"/>
              </w:rPr>
            </w:pPr>
            <w:r>
              <w:rPr>
                <w:rFonts w:ascii="Arial" w:cs="Arial" w:eastAsia="Arial" w:hAnsi="Arial"/>
                <w:sz w:val="15"/>
                <w:szCs w:val="15"/>
                <w:color w:val="1A475F"/>
              </w:rPr>
              <w:t>Jennifer Schulz</w:t>
            </w:r>
          </w:p>
        </w:tc>
        <w:tc>
          <w:tcPr>
            <w:tcW w:w="940" w:type="dxa"/>
            <w:vAlign w:val="bottom"/>
            <w:gridSpan w:val="2"/>
          </w:tcPr>
          <w:p>
            <w:pPr>
              <w:jc w:val="center"/>
              <w:ind w:left="105"/>
              <w:spacing w:after="0"/>
              <w:rPr>
                <w:sz w:val="20"/>
                <w:szCs w:val="20"/>
                <w:color w:val="auto"/>
              </w:rPr>
            </w:pPr>
            <w:r>
              <w:rPr>
                <w:rFonts w:ascii="Arial" w:cs="Arial" w:eastAsia="Arial" w:hAnsi="Arial"/>
                <w:sz w:val="15"/>
                <w:szCs w:val="15"/>
                <w:color w:val="1A475F"/>
              </w:rPr>
              <w:t>82,500</w:t>
            </w:r>
          </w:p>
        </w:tc>
        <w:tc>
          <w:tcPr>
            <w:tcW w:w="980" w:type="dxa"/>
            <w:vAlign w:val="bottom"/>
            <w:gridSpan w:val="2"/>
          </w:tcPr>
          <w:p>
            <w:pPr>
              <w:jc w:val="center"/>
              <w:ind w:left="109"/>
              <w:spacing w:after="0"/>
              <w:rPr>
                <w:sz w:val="20"/>
                <w:szCs w:val="20"/>
                <w:color w:val="auto"/>
              </w:rPr>
            </w:pPr>
            <w:r>
              <w:rPr>
                <w:rFonts w:ascii="Arial" w:cs="Arial" w:eastAsia="Arial" w:hAnsi="Arial"/>
                <w:sz w:val="15"/>
                <w:szCs w:val="15"/>
                <w:color w:val="1A475F"/>
              </w:rPr>
              <w:t>125,000</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1A475F"/>
              </w:rPr>
              <w:t>207,500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1A475F"/>
              </w:rPr>
              <w:t>Mary Ann Tocio</w:t>
            </w:r>
          </w:p>
        </w:tc>
        <w:tc>
          <w:tcPr>
            <w:tcW w:w="94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1A475F"/>
              </w:rPr>
              <w:t>84,375</w:t>
            </w:r>
          </w:p>
        </w:tc>
        <w:tc>
          <w:tcPr>
            <w:tcW w:w="980" w:type="dxa"/>
            <w:vAlign w:val="bottom"/>
            <w:gridSpan w:val="2"/>
            <w:shd w:val="clear" w:color="auto" w:fill="CCEEFF"/>
          </w:tcPr>
          <w:p>
            <w:pPr>
              <w:jc w:val="center"/>
              <w:ind w:left="109"/>
              <w:spacing w:after="0"/>
              <w:rPr>
                <w:sz w:val="20"/>
                <w:szCs w:val="20"/>
                <w:color w:val="auto"/>
              </w:rPr>
            </w:pPr>
            <w:r>
              <w:rPr>
                <w:rFonts w:ascii="Arial" w:cs="Arial" w:eastAsia="Arial" w:hAnsi="Arial"/>
                <w:sz w:val="15"/>
                <w:szCs w:val="15"/>
                <w:color w:val="1A475F"/>
              </w:rPr>
              <w:t>125,000</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1A475F"/>
              </w:rPr>
              <w:t>209,375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73660</wp:posOffset>
            </wp:positionV>
            <wp:extent cx="65405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4" w:lineRule="exact"/>
        <w:rPr>
          <w:sz w:val="20"/>
          <w:szCs w:val="20"/>
          <w:color w:val="auto"/>
        </w:rPr>
      </w:pPr>
    </w:p>
    <w:p>
      <w:pPr>
        <w:ind w:left="1280" w:hanging="379"/>
        <w:spacing w:after="0"/>
        <w:tabs>
          <w:tab w:leader="none" w:pos="1280" w:val="left"/>
        </w:tabs>
        <w:numPr>
          <w:ilvl w:val="0"/>
          <w:numId w:val="17"/>
        </w:numPr>
        <w:rPr>
          <w:rFonts w:ascii="Arial" w:cs="Arial" w:eastAsia="Arial" w:hAnsi="Arial"/>
          <w:sz w:val="12"/>
          <w:szCs w:val="12"/>
          <w:color w:val="1A475F"/>
        </w:rPr>
      </w:pPr>
      <w:r>
        <w:rPr>
          <w:rFonts w:ascii="Arial" w:cs="Arial" w:eastAsia="Arial" w:hAnsi="Arial"/>
          <w:sz w:val="12"/>
          <w:szCs w:val="12"/>
          <w:color w:val="1A475F"/>
        </w:rPr>
        <w:t>Ms. Minehan retired from the Board effective June 3, 2025 and received pro-rata Board and committee fees, but did not receive a grant of RSUs in 2025.</w:t>
      </w:r>
    </w:p>
    <w:p>
      <w:pPr>
        <w:spacing w:after="0" w:line="12" w:lineRule="exact"/>
        <w:rPr>
          <w:rFonts w:ascii="Arial" w:cs="Arial" w:eastAsia="Arial" w:hAnsi="Arial"/>
          <w:sz w:val="12"/>
          <w:szCs w:val="12"/>
          <w:color w:val="1A475F"/>
        </w:rPr>
      </w:pPr>
    </w:p>
    <w:p>
      <w:pPr>
        <w:ind w:left="1280" w:right="160" w:hanging="379"/>
        <w:spacing w:after="0" w:line="243" w:lineRule="auto"/>
        <w:tabs>
          <w:tab w:leader="none" w:pos="1280" w:val="left"/>
        </w:tabs>
        <w:numPr>
          <w:ilvl w:val="0"/>
          <w:numId w:val="17"/>
        </w:numPr>
        <w:rPr>
          <w:rFonts w:ascii="Arial" w:cs="Arial" w:eastAsia="Arial" w:hAnsi="Arial"/>
          <w:sz w:val="12"/>
          <w:szCs w:val="12"/>
          <w:color w:val="1A475F"/>
        </w:rPr>
      </w:pPr>
      <w:r>
        <w:rPr>
          <w:rFonts w:ascii="Arial" w:cs="Arial" w:eastAsia="Arial" w:hAnsi="Arial"/>
          <w:sz w:val="12"/>
          <w:szCs w:val="12"/>
          <w:color w:val="1A475F"/>
        </w:rPr>
        <w:t>Amounts shown reflect the grant date fair value of Director RSUs granted to our non-employee directors in 2025, based on the value of the awards as determined in accordance with FASB ASC Topic 718. Refer to Note 14 to our audited consolidated financial statements included in our 2025 Annual Report for additional information.</w:t>
      </w:r>
    </w:p>
    <w:p>
      <w:pPr>
        <w:spacing w:after="0" w:line="137" w:lineRule="exact"/>
        <w:rPr>
          <w:rFonts w:ascii="Arial" w:cs="Arial" w:eastAsia="Arial" w:hAnsi="Arial"/>
          <w:sz w:val="12"/>
          <w:szCs w:val="12"/>
          <w:color w:val="1A475F"/>
        </w:rPr>
      </w:pPr>
    </w:p>
    <w:p>
      <w:pPr>
        <w:ind w:left="1280" w:right="340" w:hanging="379"/>
        <w:spacing w:after="0" w:line="261" w:lineRule="auto"/>
        <w:tabs>
          <w:tab w:leader="none" w:pos="1280" w:val="left"/>
        </w:tabs>
        <w:numPr>
          <w:ilvl w:val="0"/>
          <w:numId w:val="17"/>
        </w:numPr>
        <w:rPr>
          <w:rFonts w:ascii="Arial" w:cs="Arial" w:eastAsia="Arial" w:hAnsi="Arial"/>
          <w:sz w:val="12"/>
          <w:szCs w:val="12"/>
          <w:color w:val="1A475F"/>
        </w:rPr>
      </w:pPr>
      <w:r>
        <w:rPr>
          <w:rFonts w:ascii="Arial" w:cs="Arial" w:eastAsia="Arial" w:hAnsi="Arial"/>
          <w:sz w:val="12"/>
          <w:szCs w:val="12"/>
          <w:color w:val="1A475F"/>
        </w:rPr>
        <w:t>The total number of RSUs held by directors are included in the footnotes to the Company’s beneficial ownership table listed under the heading “Stock Ownership Information” included elsewhere in this Proxy Statement. All Director RSUs are fully vested on the grant date and are settled as described above.</w:t>
      </w:r>
    </w:p>
    <w:p>
      <w:pPr>
        <w:spacing w:after="0" w:line="84"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10</w:t>
        <w:tab/>
        <w:t>|    Bright Horizons </w:t>
      </w:r>
    </w:p>
    <w:p>
      <w:pPr>
        <w:sectPr>
          <w:pgSz w:w="11900" w:h="16838" w:orient="portrait"/>
          <w:cols w:equalWidth="0" w:num="1">
            <w:col w:w="10360"/>
          </w:cols>
          <w:pgMar w:left="320" w:top="433" w:right="12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1A475F"/>
        </w:rPr>
        <w:t>BOARD OF DIRECTORS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97575" cy="146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334645</wp:posOffset>
            </wp:positionV>
            <wp:extent cx="5997575" cy="183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Board Structure</w:t>
      </w:r>
    </w:p>
    <w:p>
      <w:pPr>
        <w:spacing w:after="0" w:line="154" w:lineRule="exact"/>
        <w:rPr>
          <w:sz w:val="20"/>
          <w:szCs w:val="20"/>
          <w:color w:val="auto"/>
        </w:rPr>
      </w:pPr>
    </w:p>
    <w:p>
      <w:pPr>
        <w:ind w:left="900" w:right="20" w:firstLine="756"/>
        <w:spacing w:after="0" w:line="251" w:lineRule="auto"/>
        <w:rPr>
          <w:sz w:val="20"/>
          <w:szCs w:val="20"/>
          <w:color w:val="auto"/>
        </w:rPr>
      </w:pPr>
      <w:r>
        <w:rPr>
          <w:rFonts w:ascii="Arial" w:cs="Arial" w:eastAsia="Arial" w:hAnsi="Arial"/>
          <w:sz w:val="15"/>
          <w:szCs w:val="15"/>
          <w:color w:val="1A475F"/>
        </w:rPr>
        <w:t xml:space="preserve">We have an Audit Committee, a Compensation Committee and a Nominating and Corporate Governance Committee, each with the composition and responsibilities described below. Each committee operates under a charter that has been approved by the Board. A copy of each charter can be found on the Investor Relations section of our website at </w:t>
      </w:r>
      <w:r>
        <w:rPr>
          <w:rFonts w:ascii="Arial" w:cs="Arial" w:eastAsia="Arial" w:hAnsi="Arial"/>
          <w:sz w:val="15"/>
          <w:szCs w:val="15"/>
          <w:i w:val="1"/>
          <w:iCs w:val="1"/>
          <w:color w:val="1A475F"/>
        </w:rPr>
        <w:t>investors.brighthorizons.com</w:t>
      </w:r>
      <w:r>
        <w:rPr>
          <w:rFonts w:ascii="Arial" w:cs="Arial" w:eastAsia="Arial" w:hAnsi="Arial"/>
          <w:sz w:val="15"/>
          <w:szCs w:val="15"/>
          <w:color w:val="1A475F"/>
        </w:rPr>
        <w:t xml:space="preserve"> under “Governance &amp; Responsibility—Governance Documents.” The members of each committee are appointed by the Board and each member serves until his or her successor is elected and qualified, unless he or she is earlier removed or resigns.</w:t>
      </w:r>
    </w:p>
    <w:p>
      <w:pPr>
        <w:spacing w:after="0" w:line="59" w:lineRule="exact"/>
        <w:rPr>
          <w:sz w:val="20"/>
          <w:szCs w:val="20"/>
          <w:color w:val="auto"/>
        </w:rPr>
      </w:pPr>
    </w:p>
    <w:p>
      <w:pPr>
        <w:ind w:left="900" w:right="40" w:firstLine="756"/>
        <w:spacing w:after="0" w:line="261" w:lineRule="auto"/>
        <w:rPr>
          <w:sz w:val="20"/>
          <w:szCs w:val="20"/>
          <w:color w:val="auto"/>
        </w:rPr>
      </w:pPr>
      <w:r>
        <w:rPr>
          <w:rFonts w:ascii="Arial" w:cs="Arial" w:eastAsia="Arial" w:hAnsi="Arial"/>
          <w:sz w:val="15"/>
          <w:szCs w:val="15"/>
          <w:color w:val="1A475F"/>
        </w:rPr>
        <w:t>The Board is composed of a majority of independent directors, and our standing committees are composed entirely of independent directors as defined under applicable rules and Listed Company Manual of the NYSE (the “NYSE Rules”) and the rules of the SEC. For information on our director independence, please see “Board Independence” elsewhere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114935</wp:posOffset>
            </wp:positionV>
            <wp:extent cx="5997575" cy="183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2"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Board Meetings and Executive Sessions</w:t>
      </w:r>
    </w:p>
    <w:p>
      <w:pPr>
        <w:spacing w:after="0" w:line="154" w:lineRule="exact"/>
        <w:rPr>
          <w:sz w:val="20"/>
          <w:szCs w:val="20"/>
          <w:color w:val="auto"/>
        </w:rPr>
      </w:pPr>
    </w:p>
    <w:p>
      <w:pPr>
        <w:ind w:left="900" w:right="60" w:firstLine="756"/>
        <w:spacing w:after="0" w:line="252" w:lineRule="auto"/>
        <w:rPr>
          <w:sz w:val="20"/>
          <w:szCs w:val="20"/>
          <w:color w:val="auto"/>
        </w:rPr>
      </w:pPr>
      <w:r>
        <w:rPr>
          <w:rFonts w:ascii="Arial" w:cs="Arial" w:eastAsia="Arial" w:hAnsi="Arial"/>
          <w:sz w:val="15"/>
          <w:szCs w:val="15"/>
          <w:color w:val="1A475F"/>
        </w:rPr>
        <w:t>The Board and its committees meet periodically throughout the year to oversee management of the Company’s business and affairs for the benefit of its shareholders. During 2025, the Board held four (4) meetings and acted by written consent twice. During 2025, all of our directors attended 100% of the total Board and Committee meetings on which he or she served during the periods that he or she served. We encourage, but do not require, our directors to attend annual meetings of shareholders and, in 2025, 8 out of 9 directors attended.</w:t>
      </w:r>
    </w:p>
    <w:p>
      <w:pPr>
        <w:spacing w:after="0" w:line="236" w:lineRule="exact"/>
        <w:rPr>
          <w:sz w:val="20"/>
          <w:szCs w:val="20"/>
          <w:color w:val="auto"/>
        </w:rPr>
      </w:pPr>
    </w:p>
    <w:p>
      <w:pPr>
        <w:jc w:val="both"/>
        <w:ind w:left="900" w:right="40" w:firstLine="756"/>
        <w:spacing w:after="0" w:line="255" w:lineRule="auto"/>
        <w:rPr>
          <w:sz w:val="20"/>
          <w:szCs w:val="20"/>
          <w:color w:val="auto"/>
        </w:rPr>
      </w:pPr>
      <w:r>
        <w:rPr>
          <w:rFonts w:ascii="Arial" w:cs="Arial" w:eastAsia="Arial" w:hAnsi="Arial"/>
          <w:sz w:val="15"/>
          <w:szCs w:val="15"/>
          <w:color w:val="1A475F"/>
        </w:rPr>
        <w:t>Periodically, throughout the year, both non-management directors and independent directors meet in executive session without members of management present. These meetings allow independent directors to discuss issues of importance to the Company, including the business and affairs of the Company as well as matters concerning management, without any member of management present. Executive sessions of independent directors are presided over by Mr. Hitch, an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117475</wp:posOffset>
            </wp:positionV>
            <wp:extent cx="5997575" cy="183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Committees and Committee Composition</w:t>
      </w:r>
    </w:p>
    <w:p>
      <w:pPr>
        <w:spacing w:after="0" w:line="154" w:lineRule="exact"/>
        <w:rPr>
          <w:sz w:val="20"/>
          <w:szCs w:val="20"/>
          <w:color w:val="auto"/>
        </w:rPr>
      </w:pPr>
    </w:p>
    <w:p>
      <w:pPr>
        <w:ind w:left="900" w:right="20" w:firstLine="756"/>
        <w:spacing w:after="0" w:line="255" w:lineRule="auto"/>
        <w:rPr>
          <w:sz w:val="20"/>
          <w:szCs w:val="20"/>
          <w:color w:val="auto"/>
        </w:rPr>
      </w:pPr>
      <w:r>
        <w:rPr>
          <w:rFonts w:ascii="Arial" w:cs="Arial" w:eastAsia="Arial" w:hAnsi="Arial"/>
          <w:sz w:val="15"/>
          <w:szCs w:val="15"/>
          <w:color w:val="1A475F"/>
        </w:rPr>
        <w:t>The Board has three standing committees: the Audit Committee, the Compensation Committee, and the Nominating and Corporate Governance Committee. From time to time, special committees may be established under the direction of the Board when necessary to address specific matters. The Board has delegated various responsibilities and authorities to these committees, as described below and in the committee charters. The committees periodically report on their activities and actions to the Board.</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The table below provides information about the current membership of our standing committees:</w:t>
      </w:r>
    </w:p>
    <w:p>
      <w:pPr>
        <w:spacing w:after="0" w:line="212"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3820" w:type="dxa"/>
            <w:vAlign w:val="bottom"/>
          </w:tcPr>
          <w:p>
            <w:pPr>
              <w:spacing w:after="0"/>
              <w:rPr>
                <w:sz w:val="20"/>
                <w:szCs w:val="20"/>
                <w:color w:val="auto"/>
              </w:rPr>
            </w:pPr>
            <w:r>
              <w:rPr>
                <w:rFonts w:ascii="Arial" w:cs="Arial" w:eastAsia="Arial" w:hAnsi="Arial"/>
                <w:sz w:val="14"/>
                <w:szCs w:val="14"/>
                <w:b w:val="1"/>
                <w:bCs w:val="1"/>
                <w:color w:val="1A475F"/>
              </w:rPr>
              <w:t xml:space="preserve">       </w:t>
            </w:r>
          </w:p>
        </w:tc>
        <w:tc>
          <w:tcPr>
            <w:tcW w:w="340" w:type="dxa"/>
            <w:vAlign w:val="bottom"/>
          </w:tcPr>
          <w:p>
            <w:pPr>
              <w:spacing w:after="0"/>
              <w:rPr>
                <w:sz w:val="15"/>
                <w:szCs w:val="15"/>
                <w:color w:val="auto"/>
              </w:rPr>
            </w:pPr>
          </w:p>
        </w:tc>
        <w:tc>
          <w:tcPr>
            <w:tcW w:w="880" w:type="dxa"/>
            <w:vAlign w:val="bottom"/>
          </w:tcPr>
          <w:p>
            <w:pPr>
              <w:ind w:left="220"/>
              <w:spacing w:after="0"/>
              <w:rPr>
                <w:sz w:val="20"/>
                <w:szCs w:val="20"/>
                <w:color w:val="auto"/>
              </w:rPr>
            </w:pPr>
            <w:r>
              <w:rPr>
                <w:rFonts w:ascii="Arial" w:cs="Arial" w:eastAsia="Arial" w:hAnsi="Arial"/>
                <w:sz w:val="14"/>
                <w:szCs w:val="14"/>
                <w:b w:val="1"/>
                <w:bCs w:val="1"/>
                <w:color w:val="1A475F"/>
              </w:rPr>
              <w:t xml:space="preserve">       </w:t>
            </w:r>
          </w:p>
        </w:tc>
        <w:tc>
          <w:tcPr>
            <w:tcW w:w="320" w:type="dxa"/>
            <w:vAlign w:val="bottom"/>
          </w:tcPr>
          <w:p>
            <w:pPr>
              <w:spacing w:after="0"/>
              <w:rPr>
                <w:sz w:val="15"/>
                <w:szCs w:val="15"/>
                <w:color w:val="auto"/>
              </w:rPr>
            </w:pPr>
          </w:p>
        </w:tc>
        <w:tc>
          <w:tcPr>
            <w:tcW w:w="820" w:type="dxa"/>
            <w:vAlign w:val="bottom"/>
          </w:tcPr>
          <w:p>
            <w:pPr>
              <w:ind w:left="340"/>
              <w:spacing w:after="0"/>
              <w:rPr>
                <w:sz w:val="20"/>
                <w:szCs w:val="20"/>
                <w:color w:val="auto"/>
              </w:rPr>
            </w:pPr>
            <w:r>
              <w:rPr>
                <w:rFonts w:ascii="Arial" w:cs="Arial" w:eastAsia="Arial" w:hAnsi="Arial"/>
                <w:sz w:val="14"/>
                <w:szCs w:val="14"/>
                <w:b w:val="1"/>
                <w:bCs w:val="1"/>
                <w:color w:val="1A475F"/>
              </w:rPr>
              <w:t> </w:t>
            </w:r>
          </w:p>
        </w:tc>
        <w:tc>
          <w:tcPr>
            <w:tcW w:w="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1A475F"/>
              </w:rPr>
              <w:t>Current Committee Membership</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1A475F"/>
                <w:w w:val="98"/>
              </w:rPr>
              <w:t>Nominating</w:t>
            </w:r>
          </w:p>
        </w:tc>
        <w:tc>
          <w:tcPr>
            <w:tcW w:w="0" w:type="dxa"/>
            <w:vAlign w:val="bottom"/>
          </w:tcPr>
          <w:p>
            <w:pPr>
              <w:spacing w:after="0"/>
              <w:rPr>
                <w:sz w:val="1"/>
                <w:szCs w:val="1"/>
                <w:color w:val="auto"/>
              </w:rPr>
            </w:pPr>
          </w:p>
        </w:tc>
      </w:tr>
      <w:tr>
        <w:trPr>
          <w:trHeight w:val="162"/>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1A475F"/>
              </w:rPr>
              <w:t>Director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1A475F"/>
                <w:w w:val="98"/>
              </w:rPr>
              <w:t>and Corporate</w:t>
            </w:r>
          </w:p>
        </w:tc>
        <w:tc>
          <w:tcPr>
            <w:tcW w:w="0" w:type="dxa"/>
            <w:vAlign w:val="bottom"/>
          </w:tcPr>
          <w:p>
            <w:pPr>
              <w:spacing w:after="0"/>
              <w:rPr>
                <w:sz w:val="1"/>
                <w:szCs w:val="1"/>
                <w:color w:val="auto"/>
              </w:rPr>
            </w:pPr>
          </w:p>
        </w:tc>
      </w:tr>
      <w:tr>
        <w:trPr>
          <w:trHeight w:val="174"/>
        </w:trPr>
        <w:tc>
          <w:tcPr>
            <w:tcW w:w="3820" w:type="dxa"/>
            <w:vAlign w:val="bottom"/>
            <w:vMerge w:val="continue"/>
          </w:tcPr>
          <w:p>
            <w:pPr>
              <w:spacing w:after="0"/>
              <w:rPr>
                <w:sz w:val="15"/>
                <w:szCs w:val="15"/>
                <w:color w:val="auto"/>
              </w:rPr>
            </w:pPr>
          </w:p>
        </w:tc>
        <w:tc>
          <w:tcPr>
            <w:tcW w:w="122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1A475F"/>
                <w:w w:val="96"/>
              </w:rPr>
              <w:t>Current Term</w:t>
            </w: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1A475F"/>
                <w:w w:val="96"/>
              </w:rPr>
              <w:t>Independent</w:t>
            </w:r>
          </w:p>
        </w:tc>
        <w:tc>
          <w:tcPr>
            <w:tcW w:w="700" w:type="dxa"/>
            <w:vAlign w:val="bottom"/>
            <w:gridSpan w:val="2"/>
          </w:tcPr>
          <w:p>
            <w:pPr>
              <w:ind w:left="320"/>
              <w:spacing w:after="0"/>
              <w:rPr>
                <w:sz w:val="20"/>
                <w:szCs w:val="20"/>
                <w:color w:val="auto"/>
              </w:rPr>
            </w:pPr>
            <w:r>
              <w:rPr>
                <w:rFonts w:ascii="Arial" w:cs="Arial" w:eastAsia="Arial" w:hAnsi="Arial"/>
                <w:sz w:val="14"/>
                <w:szCs w:val="14"/>
                <w:b w:val="1"/>
                <w:bCs w:val="1"/>
                <w:color w:val="1A475F"/>
              </w:rPr>
              <w:t>Audit</w:t>
            </w:r>
          </w:p>
        </w:tc>
        <w:tc>
          <w:tcPr>
            <w:tcW w:w="1620" w:type="dxa"/>
            <w:vAlign w:val="bottom"/>
            <w:gridSpan w:val="3"/>
          </w:tcPr>
          <w:p>
            <w:pPr>
              <w:ind w:left="320"/>
              <w:spacing w:after="0"/>
              <w:rPr>
                <w:sz w:val="20"/>
                <w:szCs w:val="20"/>
                <w:color w:val="auto"/>
              </w:rPr>
            </w:pPr>
            <w:r>
              <w:rPr>
                <w:rFonts w:ascii="Arial" w:cs="Arial" w:eastAsia="Arial" w:hAnsi="Arial"/>
                <w:sz w:val="14"/>
                <w:szCs w:val="14"/>
                <w:b w:val="1"/>
                <w:bCs w:val="1"/>
                <w:color w:val="1A475F"/>
              </w:rPr>
              <w:t>Compensation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1A475F"/>
                <w:w w:val="98"/>
              </w:rPr>
              <w:t>Governance</w:t>
            </w:r>
          </w:p>
        </w:tc>
        <w:tc>
          <w:tcPr>
            <w:tcW w:w="0" w:type="dxa"/>
            <w:vAlign w:val="bottom"/>
          </w:tcPr>
          <w:p>
            <w:pPr>
              <w:spacing w:after="0"/>
              <w:rPr>
                <w:sz w:val="1"/>
                <w:szCs w:val="1"/>
                <w:color w:val="auto"/>
              </w:rPr>
            </w:pPr>
          </w:p>
        </w:tc>
      </w:tr>
      <w:tr>
        <w:trPr>
          <w:trHeight w:val="165"/>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1A475F"/>
              </w:rPr>
              <w:t>Lawrence M. Alleva</w:t>
            </w:r>
          </w:p>
        </w:tc>
        <w:tc>
          <w:tcPr>
            <w:tcW w:w="3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1A475F"/>
                <w:w w:val="96"/>
              </w:rPr>
              <w:t>2026</w:t>
            </w:r>
          </w:p>
        </w:tc>
        <w:tc>
          <w:tcPr>
            <w:tcW w:w="3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340"/>
              <w:spacing w:after="0" w:line="141" w:lineRule="exact"/>
              <w:rPr>
                <w:sz w:val="20"/>
                <w:szCs w:val="20"/>
                <w:color w:val="auto"/>
              </w:rPr>
            </w:pPr>
            <w:r>
              <w:rPr>
                <w:rFonts w:ascii="MS PGothic" w:cs="MS PGothic" w:eastAsia="MS PGothic" w:hAnsi="MS PGothic"/>
                <w:sz w:val="14"/>
                <w:szCs w:val="14"/>
                <w:color w:val="1A475F"/>
              </w:rPr>
              <w:t>☑</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4"/>
                <w:szCs w:val="14"/>
                <w:color w:val="1A475F"/>
              </w:rPr>
              <w:t>Julie Atkinson</w:t>
            </w:r>
          </w:p>
        </w:tc>
        <w:tc>
          <w:tcPr>
            <w:tcW w:w="1220" w:type="dxa"/>
            <w:vAlign w:val="bottom"/>
            <w:gridSpan w:val="2"/>
          </w:tcPr>
          <w:p>
            <w:pPr>
              <w:jc w:val="center"/>
              <w:ind w:left="251"/>
              <w:spacing w:after="0"/>
              <w:rPr>
                <w:sz w:val="20"/>
                <w:szCs w:val="20"/>
                <w:color w:val="auto"/>
              </w:rPr>
            </w:pPr>
            <w:r>
              <w:rPr>
                <w:rFonts w:ascii="Arial" w:cs="Arial" w:eastAsia="Arial" w:hAnsi="Arial"/>
                <w:sz w:val="14"/>
                <w:szCs w:val="14"/>
                <w:color w:val="1A475F"/>
                <w:w w:val="96"/>
              </w:rPr>
              <w:t>2027</w:t>
            </w:r>
          </w:p>
        </w:tc>
        <w:tc>
          <w:tcPr>
            <w:tcW w:w="320" w:type="dxa"/>
            <w:vAlign w:val="bottom"/>
          </w:tcPr>
          <w:p>
            <w:pPr>
              <w:spacing w:after="0"/>
              <w:rPr>
                <w:sz w:val="15"/>
                <w:szCs w:val="15"/>
                <w:color w:val="auto"/>
              </w:rPr>
            </w:pPr>
          </w:p>
        </w:tc>
        <w:tc>
          <w:tcPr>
            <w:tcW w:w="820" w:type="dxa"/>
            <w:vAlign w:val="bottom"/>
          </w:tcPr>
          <w:p>
            <w:pPr>
              <w:ind w:left="340"/>
              <w:spacing w:after="0" w:line="141" w:lineRule="exact"/>
              <w:rPr>
                <w:sz w:val="20"/>
                <w:szCs w:val="20"/>
                <w:color w:val="auto"/>
              </w:rPr>
            </w:pPr>
            <w:r>
              <w:rPr>
                <w:rFonts w:ascii="MS PGothic" w:cs="MS PGothic" w:eastAsia="MS PGothic" w:hAnsi="MS PGothic"/>
                <w:sz w:val="14"/>
                <w:szCs w:val="14"/>
                <w:color w:val="1A475F"/>
              </w:rPr>
              <w:t>☑</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center"/>
              <w:spacing w:after="0" w:line="141" w:lineRule="exact"/>
              <w:rPr>
                <w:sz w:val="20"/>
                <w:szCs w:val="20"/>
                <w:color w:val="auto"/>
              </w:rPr>
            </w:pPr>
            <w:r>
              <w:rPr>
                <w:rFonts w:ascii="MS PGothic" w:cs="MS PGothic" w:eastAsia="MS PGothic" w:hAnsi="MS PGothic"/>
                <w:sz w:val="14"/>
                <w:szCs w:val="14"/>
                <w:color w:val="1A475F"/>
                <w:w w:val="85"/>
              </w:rPr>
              <w:t>☑</w:t>
            </w: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1A475F"/>
              </w:rPr>
              <w:t>Joshua Bekenstein</w:t>
            </w:r>
          </w:p>
        </w:tc>
        <w:tc>
          <w:tcPr>
            <w:tcW w:w="1220" w:type="dxa"/>
            <w:vAlign w:val="bottom"/>
            <w:gridSpan w:val="2"/>
            <w:shd w:val="clear" w:color="auto" w:fill="CCEEFF"/>
          </w:tcPr>
          <w:p>
            <w:pPr>
              <w:jc w:val="center"/>
              <w:ind w:left="251"/>
              <w:spacing w:after="0"/>
              <w:rPr>
                <w:sz w:val="20"/>
                <w:szCs w:val="20"/>
                <w:color w:val="auto"/>
              </w:rPr>
            </w:pPr>
            <w:r>
              <w:rPr>
                <w:rFonts w:ascii="Arial" w:cs="Arial" w:eastAsia="Arial" w:hAnsi="Arial"/>
                <w:sz w:val="14"/>
                <w:szCs w:val="14"/>
                <w:color w:val="1A475F"/>
                <w:w w:val="96"/>
              </w:rPr>
              <w:t>2026</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ind w:left="340"/>
              <w:spacing w:after="0" w:line="141" w:lineRule="exact"/>
              <w:rPr>
                <w:sz w:val="20"/>
                <w:szCs w:val="20"/>
                <w:color w:val="auto"/>
              </w:rPr>
            </w:pPr>
            <w:r>
              <w:rPr>
                <w:rFonts w:ascii="MS PGothic" w:cs="MS PGothic" w:eastAsia="MS PGothic" w:hAnsi="MS PGothic"/>
                <w:sz w:val="14"/>
                <w:szCs w:val="14"/>
                <w:color w:val="1A475F"/>
              </w:rPr>
              <w:t>☑</w:t>
            </w: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340"/>
              <w:spacing w:after="0" w:line="141" w:lineRule="exact"/>
              <w:rPr>
                <w:sz w:val="20"/>
                <w:szCs w:val="20"/>
                <w:color w:val="auto"/>
              </w:rPr>
            </w:pPr>
            <w:r>
              <w:rPr>
                <w:rFonts w:ascii="MS PGothic" w:cs="MS PGothic" w:eastAsia="MS PGothic" w:hAnsi="MS PGothic"/>
                <w:sz w:val="14"/>
                <w:szCs w:val="14"/>
                <w:color w:val="1A475F"/>
                <w:w w:val="85"/>
              </w:rPr>
              <w:t>☑</w:t>
            </w: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4"/>
                <w:szCs w:val="14"/>
                <w:color w:val="1A475F"/>
              </w:rPr>
              <w:t>Jordan Hitch</w:t>
            </w:r>
          </w:p>
        </w:tc>
        <w:tc>
          <w:tcPr>
            <w:tcW w:w="1220" w:type="dxa"/>
            <w:vAlign w:val="bottom"/>
            <w:gridSpan w:val="2"/>
          </w:tcPr>
          <w:p>
            <w:pPr>
              <w:jc w:val="center"/>
              <w:ind w:left="251"/>
              <w:spacing w:after="0"/>
              <w:rPr>
                <w:sz w:val="20"/>
                <w:szCs w:val="20"/>
                <w:color w:val="auto"/>
              </w:rPr>
            </w:pPr>
            <w:r>
              <w:rPr>
                <w:rFonts w:ascii="Arial" w:cs="Arial" w:eastAsia="Arial" w:hAnsi="Arial"/>
                <w:sz w:val="14"/>
                <w:szCs w:val="14"/>
                <w:color w:val="1A475F"/>
                <w:w w:val="96"/>
              </w:rPr>
              <w:t>2027</w:t>
            </w:r>
          </w:p>
        </w:tc>
        <w:tc>
          <w:tcPr>
            <w:tcW w:w="320" w:type="dxa"/>
            <w:vAlign w:val="bottom"/>
          </w:tcPr>
          <w:p>
            <w:pPr>
              <w:spacing w:after="0"/>
              <w:rPr>
                <w:sz w:val="15"/>
                <w:szCs w:val="15"/>
                <w:color w:val="auto"/>
              </w:rPr>
            </w:pPr>
          </w:p>
        </w:tc>
        <w:tc>
          <w:tcPr>
            <w:tcW w:w="820" w:type="dxa"/>
            <w:vAlign w:val="bottom"/>
          </w:tcPr>
          <w:p>
            <w:pPr>
              <w:ind w:left="340"/>
              <w:spacing w:after="0" w:line="141" w:lineRule="exact"/>
              <w:rPr>
                <w:sz w:val="20"/>
                <w:szCs w:val="20"/>
                <w:color w:val="auto"/>
              </w:rPr>
            </w:pPr>
            <w:r>
              <w:rPr>
                <w:rFonts w:ascii="MS PGothic" w:cs="MS PGothic" w:eastAsia="MS PGothic" w:hAnsi="MS PGothic"/>
                <w:sz w:val="14"/>
                <w:szCs w:val="14"/>
                <w:color w:val="1A475F"/>
              </w:rPr>
              <w:t>☑</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center"/>
              <w:spacing w:after="0" w:line="141" w:lineRule="exact"/>
              <w:rPr>
                <w:sz w:val="20"/>
                <w:szCs w:val="20"/>
                <w:color w:val="auto"/>
              </w:rPr>
            </w:pPr>
            <w:r>
              <w:rPr>
                <w:rFonts w:ascii="MS PGothic" w:cs="MS PGothic" w:eastAsia="MS PGothic" w:hAnsi="MS PGothic"/>
                <w:sz w:val="14"/>
                <w:szCs w:val="14"/>
                <w:color w:val="1A475F"/>
                <w:w w:val="85"/>
              </w:rPr>
              <w:t>☑</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1A475F"/>
              </w:rPr>
              <w:t>Stephen H. Kramer</w:t>
            </w:r>
          </w:p>
        </w:tc>
        <w:tc>
          <w:tcPr>
            <w:tcW w:w="1220" w:type="dxa"/>
            <w:vAlign w:val="bottom"/>
            <w:gridSpan w:val="2"/>
            <w:shd w:val="clear" w:color="auto" w:fill="CCEEFF"/>
          </w:tcPr>
          <w:p>
            <w:pPr>
              <w:jc w:val="center"/>
              <w:ind w:left="251"/>
              <w:spacing w:after="0"/>
              <w:rPr>
                <w:sz w:val="20"/>
                <w:szCs w:val="20"/>
                <w:color w:val="auto"/>
              </w:rPr>
            </w:pPr>
            <w:r>
              <w:rPr>
                <w:rFonts w:ascii="Arial" w:cs="Arial" w:eastAsia="Arial" w:hAnsi="Arial"/>
                <w:sz w:val="14"/>
                <w:szCs w:val="14"/>
                <w:color w:val="1A475F"/>
                <w:w w:val="96"/>
              </w:rPr>
              <w:t>2026</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1A475F"/>
              </w:rPr>
              <w:t>—</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4"/>
                <w:szCs w:val="14"/>
                <w:color w:val="1A475F"/>
              </w:rPr>
              <w:t>David H. Lissy</w:t>
            </w:r>
          </w:p>
        </w:tc>
        <w:tc>
          <w:tcPr>
            <w:tcW w:w="1220" w:type="dxa"/>
            <w:vAlign w:val="bottom"/>
            <w:gridSpan w:val="2"/>
          </w:tcPr>
          <w:p>
            <w:pPr>
              <w:jc w:val="center"/>
              <w:ind w:left="251"/>
              <w:spacing w:after="0"/>
              <w:rPr>
                <w:sz w:val="20"/>
                <w:szCs w:val="20"/>
                <w:color w:val="auto"/>
              </w:rPr>
            </w:pPr>
            <w:r>
              <w:rPr>
                <w:rFonts w:ascii="Arial" w:cs="Arial" w:eastAsia="Arial" w:hAnsi="Arial"/>
                <w:sz w:val="14"/>
                <w:szCs w:val="14"/>
                <w:color w:val="1A475F"/>
                <w:w w:val="96"/>
              </w:rPr>
              <w:t>2026</w:t>
            </w:r>
          </w:p>
        </w:tc>
        <w:tc>
          <w:tcPr>
            <w:tcW w:w="320" w:type="dxa"/>
            <w:vAlign w:val="bottom"/>
          </w:tcPr>
          <w:p>
            <w:pPr>
              <w:spacing w:after="0"/>
              <w:rPr>
                <w:sz w:val="15"/>
                <w:szCs w:val="15"/>
                <w:color w:val="auto"/>
              </w:rPr>
            </w:pPr>
          </w:p>
        </w:tc>
        <w:tc>
          <w:tcPr>
            <w:tcW w:w="820" w:type="dxa"/>
            <w:vAlign w:val="bottom"/>
          </w:tcPr>
          <w:p>
            <w:pPr>
              <w:ind w:left="340"/>
              <w:spacing w:after="0" w:line="141" w:lineRule="exact"/>
              <w:rPr>
                <w:sz w:val="20"/>
                <w:szCs w:val="20"/>
                <w:color w:val="auto"/>
              </w:rPr>
            </w:pPr>
            <w:r>
              <w:rPr>
                <w:rFonts w:ascii="MS PGothic" w:cs="MS PGothic" w:eastAsia="MS PGothic" w:hAnsi="MS PGothic"/>
                <w:sz w:val="14"/>
                <w:szCs w:val="14"/>
                <w:color w:val="1A475F"/>
              </w:rPr>
              <w:t>☑</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1A475F"/>
              </w:rPr>
              <w:t>Laurel J. Richie</w:t>
            </w:r>
          </w:p>
        </w:tc>
        <w:tc>
          <w:tcPr>
            <w:tcW w:w="1220" w:type="dxa"/>
            <w:vAlign w:val="bottom"/>
            <w:gridSpan w:val="2"/>
            <w:shd w:val="clear" w:color="auto" w:fill="CCEEFF"/>
          </w:tcPr>
          <w:p>
            <w:pPr>
              <w:jc w:val="center"/>
              <w:ind w:left="251"/>
              <w:spacing w:after="0"/>
              <w:rPr>
                <w:sz w:val="20"/>
                <w:szCs w:val="20"/>
                <w:color w:val="auto"/>
              </w:rPr>
            </w:pPr>
            <w:r>
              <w:rPr>
                <w:rFonts w:ascii="Arial" w:cs="Arial" w:eastAsia="Arial" w:hAnsi="Arial"/>
                <w:sz w:val="14"/>
                <w:szCs w:val="14"/>
                <w:color w:val="1A475F"/>
                <w:w w:val="96"/>
              </w:rPr>
              <w:t>2026</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ind w:left="340"/>
              <w:spacing w:after="0" w:line="141" w:lineRule="exact"/>
              <w:rPr>
                <w:sz w:val="20"/>
                <w:szCs w:val="20"/>
                <w:color w:val="auto"/>
              </w:rPr>
            </w:pPr>
            <w:r>
              <w:rPr>
                <w:rFonts w:ascii="MS PGothic" w:cs="MS PGothic" w:eastAsia="MS PGothic" w:hAnsi="MS PGothic"/>
                <w:sz w:val="14"/>
                <w:szCs w:val="14"/>
                <w:color w:val="1A475F"/>
              </w:rPr>
              <w:t>☑</w:t>
            </w: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line="141" w:lineRule="exact"/>
              <w:rPr>
                <w:sz w:val="20"/>
                <w:szCs w:val="20"/>
                <w:color w:val="auto"/>
              </w:rPr>
            </w:pPr>
            <w:r>
              <w:rPr>
                <w:rFonts w:ascii="MS PGothic" w:cs="MS PGothic" w:eastAsia="MS PGothic" w:hAnsi="MS PGothic"/>
                <w:sz w:val="14"/>
                <w:szCs w:val="14"/>
                <w:color w:val="1A475F"/>
                <w:w w:val="85"/>
              </w:rPr>
              <w:t>☑</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4"/>
                <w:szCs w:val="14"/>
                <w:color w:val="1A475F"/>
              </w:rPr>
              <w:t>Jennifer Schulz</w:t>
            </w:r>
          </w:p>
        </w:tc>
        <w:tc>
          <w:tcPr>
            <w:tcW w:w="1220" w:type="dxa"/>
            <w:vAlign w:val="bottom"/>
            <w:gridSpan w:val="2"/>
          </w:tcPr>
          <w:p>
            <w:pPr>
              <w:jc w:val="center"/>
              <w:ind w:left="251"/>
              <w:spacing w:after="0"/>
              <w:rPr>
                <w:sz w:val="20"/>
                <w:szCs w:val="20"/>
                <w:color w:val="auto"/>
              </w:rPr>
            </w:pPr>
            <w:r>
              <w:rPr>
                <w:rFonts w:ascii="Arial" w:cs="Arial" w:eastAsia="Arial" w:hAnsi="Arial"/>
                <w:sz w:val="14"/>
                <w:szCs w:val="14"/>
                <w:color w:val="1A475F"/>
                <w:w w:val="96"/>
              </w:rPr>
              <w:t>2026</w:t>
            </w:r>
          </w:p>
        </w:tc>
        <w:tc>
          <w:tcPr>
            <w:tcW w:w="320" w:type="dxa"/>
            <w:vAlign w:val="bottom"/>
          </w:tcPr>
          <w:p>
            <w:pPr>
              <w:spacing w:after="0"/>
              <w:rPr>
                <w:sz w:val="15"/>
                <w:szCs w:val="15"/>
                <w:color w:val="auto"/>
              </w:rPr>
            </w:pPr>
          </w:p>
        </w:tc>
        <w:tc>
          <w:tcPr>
            <w:tcW w:w="820" w:type="dxa"/>
            <w:vAlign w:val="bottom"/>
          </w:tcPr>
          <w:p>
            <w:pPr>
              <w:ind w:left="340"/>
              <w:spacing w:after="0" w:line="141" w:lineRule="exact"/>
              <w:rPr>
                <w:sz w:val="20"/>
                <w:szCs w:val="20"/>
                <w:color w:val="auto"/>
              </w:rPr>
            </w:pPr>
            <w:r>
              <w:rPr>
                <w:rFonts w:ascii="MS PGothic" w:cs="MS PGothic" w:eastAsia="MS PGothic" w:hAnsi="MS PGothic"/>
                <w:sz w:val="14"/>
                <w:szCs w:val="14"/>
                <w:color w:val="1A475F"/>
              </w:rPr>
              <w:t>☑</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center"/>
              <w:ind w:right="340"/>
              <w:spacing w:after="0" w:line="141" w:lineRule="exact"/>
              <w:rPr>
                <w:sz w:val="20"/>
                <w:szCs w:val="20"/>
                <w:color w:val="auto"/>
              </w:rPr>
            </w:pPr>
            <w:r>
              <w:rPr>
                <w:rFonts w:ascii="MS PGothic" w:cs="MS PGothic" w:eastAsia="MS PGothic" w:hAnsi="MS PGothic"/>
                <w:sz w:val="14"/>
                <w:szCs w:val="14"/>
                <w:color w:val="1A475F"/>
                <w:w w:val="85"/>
              </w:rPr>
              <w:t>☑</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1A475F"/>
              </w:rPr>
              <w:t>Mary Ann Tocio</w:t>
            </w:r>
          </w:p>
        </w:tc>
        <w:tc>
          <w:tcPr>
            <w:tcW w:w="1220" w:type="dxa"/>
            <w:vAlign w:val="bottom"/>
            <w:gridSpan w:val="2"/>
            <w:shd w:val="clear" w:color="auto" w:fill="CCEEFF"/>
          </w:tcPr>
          <w:p>
            <w:pPr>
              <w:jc w:val="center"/>
              <w:ind w:left="251"/>
              <w:spacing w:after="0"/>
              <w:rPr>
                <w:sz w:val="20"/>
                <w:szCs w:val="20"/>
                <w:color w:val="auto"/>
              </w:rPr>
            </w:pPr>
            <w:r>
              <w:rPr>
                <w:rFonts w:ascii="Arial" w:cs="Arial" w:eastAsia="Arial" w:hAnsi="Arial"/>
                <w:sz w:val="14"/>
                <w:szCs w:val="14"/>
                <w:color w:val="1A475F"/>
                <w:w w:val="96"/>
              </w:rPr>
              <w:t>2027</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ind w:left="340"/>
              <w:spacing w:after="0" w:line="141" w:lineRule="exact"/>
              <w:rPr>
                <w:sz w:val="20"/>
                <w:szCs w:val="20"/>
                <w:color w:val="auto"/>
              </w:rPr>
            </w:pPr>
            <w:r>
              <w:rPr>
                <w:rFonts w:ascii="MS PGothic" w:cs="MS PGothic" w:eastAsia="MS PGothic" w:hAnsi="MS PGothic"/>
                <w:sz w:val="14"/>
                <w:szCs w:val="14"/>
                <w:color w:val="1A475F"/>
              </w:rPr>
              <w:t>☑</w:t>
            </w: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line="141" w:lineRule="exact"/>
              <w:rPr>
                <w:sz w:val="20"/>
                <w:szCs w:val="20"/>
                <w:color w:val="auto"/>
              </w:rPr>
            </w:pPr>
            <w:r>
              <w:rPr>
                <w:rFonts w:ascii="MS PGothic" w:cs="MS PGothic" w:eastAsia="MS PGothic" w:hAnsi="MS PGothic"/>
                <w:sz w:val="14"/>
                <w:szCs w:val="14"/>
                <w:color w:val="1A475F"/>
                <w:w w:val="85"/>
              </w:rPr>
              <w:t>☑</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b w:val="1"/>
                <w:bCs w:val="1"/>
                <w:color w:val="1A475F"/>
              </w:rPr>
              <w:t>Number of meetings during 2025</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tcPr>
          <w:p>
            <w:pPr>
              <w:jc w:val="center"/>
              <w:ind w:left="231"/>
              <w:spacing w:after="0"/>
              <w:rPr>
                <w:sz w:val="20"/>
                <w:szCs w:val="20"/>
                <w:color w:val="auto"/>
              </w:rPr>
            </w:pPr>
            <w:r>
              <w:rPr>
                <w:rFonts w:ascii="Arial" w:cs="Arial" w:eastAsia="Arial" w:hAnsi="Arial"/>
                <w:sz w:val="14"/>
                <w:szCs w:val="14"/>
                <w:b w:val="1"/>
                <w:bCs w:val="1"/>
                <w:color w:val="1A475F"/>
              </w:rPr>
              <w:t>8</w:t>
            </w:r>
          </w:p>
        </w:tc>
        <w:tc>
          <w:tcPr>
            <w:tcW w:w="128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1A475F"/>
              </w:rPr>
              <w:t>4</w:t>
            </w: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1A475F"/>
              </w:rPr>
              <w:t>2</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20"/>
                <w:szCs w:val="20"/>
                <w:color w:val="auto"/>
              </w:rPr>
            </w:pPr>
            <w:r>
              <w:rPr>
                <w:rFonts w:ascii="Arial" w:cs="Arial" w:eastAsia="Arial" w:hAnsi="Arial"/>
                <w:sz w:val="14"/>
                <w:szCs w:val="14"/>
                <w:b w:val="1"/>
                <w:bCs w:val="1"/>
                <w:color w:val="1A475F"/>
              </w:rPr>
              <w:t>Action by written consent during 2025</w:t>
            </w: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1A475F"/>
                <w:w w:val="99"/>
              </w:rPr>
              <w:t>—</w:t>
            </w:r>
          </w:p>
        </w:tc>
        <w:tc>
          <w:tcPr>
            <w:tcW w:w="1280" w:type="dxa"/>
            <w:vAlign w:val="bottom"/>
            <w:gridSpan w:val="2"/>
            <w:shd w:val="clear" w:color="auto" w:fill="CCEEFF"/>
          </w:tcPr>
          <w:p>
            <w:pPr>
              <w:jc w:val="center"/>
              <w:ind w:left="251"/>
              <w:spacing w:after="0"/>
              <w:rPr>
                <w:sz w:val="20"/>
                <w:szCs w:val="20"/>
                <w:color w:val="auto"/>
              </w:rPr>
            </w:pPr>
            <w:r>
              <w:rPr>
                <w:rFonts w:ascii="Arial" w:cs="Arial" w:eastAsia="Arial" w:hAnsi="Arial"/>
                <w:sz w:val="14"/>
                <w:szCs w:val="14"/>
                <w:b w:val="1"/>
                <w:bCs w:val="1"/>
                <w:color w:val="1A475F"/>
              </w:rPr>
              <w:t>3</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1A475F"/>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73660</wp:posOffset>
            </wp:positionV>
            <wp:extent cx="65405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4050" cy="762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-1160780</wp:posOffset>
            </wp:positionV>
            <wp:extent cx="73660" cy="806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660" cy="80645"/>
                    </a:xfrm>
                    <a:prstGeom prst="rect">
                      <a:avLst/>
                    </a:prstGeom>
                    <a:noFill/>
                  </pic:spPr>
                </pic:pic>
              </a:graphicData>
            </a:graphic>
          </wp:anchor>
        </w:drawing>
        <w:drawing>
          <wp:anchor simplePos="0" relativeHeight="251657728" behindDoc="1" locked="0" layoutInCell="0" allowOverlap="1">
            <wp:simplePos x="0" y="0"/>
            <wp:positionH relativeFrom="column">
              <wp:posOffset>5405120</wp:posOffset>
            </wp:positionH>
            <wp:positionV relativeFrom="paragraph">
              <wp:posOffset>-829945</wp:posOffset>
            </wp:positionV>
            <wp:extent cx="80645" cy="80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645" cy="80645"/>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-506730</wp:posOffset>
            </wp:positionV>
            <wp:extent cx="73660" cy="806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660" cy="80645"/>
                    </a:xfrm>
                    <a:prstGeom prst="rect">
                      <a:avLst/>
                    </a:prstGeom>
                    <a:noFill/>
                  </pic:spPr>
                </pic:pic>
              </a:graphicData>
            </a:graphic>
          </wp:anchor>
        </w:drawing>
      </w:r>
    </w:p>
    <w:p>
      <w:pPr>
        <w:spacing w:after="0" w:line="134" w:lineRule="exact"/>
        <w:rPr>
          <w:sz w:val="20"/>
          <w:szCs w:val="20"/>
          <w:color w:val="auto"/>
        </w:rPr>
      </w:pPr>
    </w:p>
    <w:p>
      <w:pPr>
        <w:ind w:left="1280"/>
        <w:spacing w:after="0"/>
        <w:rPr>
          <w:sz w:val="20"/>
          <w:szCs w:val="20"/>
          <w:color w:val="auto"/>
        </w:rPr>
      </w:pPr>
      <w:r>
        <w:rPr>
          <w:rFonts w:ascii="Arial" w:cs="Arial" w:eastAsia="Arial" w:hAnsi="Arial"/>
          <w:sz w:val="12"/>
          <w:szCs w:val="12"/>
          <w:color w:val="1A475F"/>
        </w:rPr>
        <w: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-81915</wp:posOffset>
            </wp:positionV>
            <wp:extent cx="73660" cy="806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660" cy="80645"/>
                    </a:xfrm>
                    <a:prstGeom prst="rect">
                      <a:avLst/>
                    </a:prstGeom>
                    <a:noFill/>
                  </pic:spPr>
                </pic:pic>
              </a:graphicData>
            </a:graphic>
          </wp:anchor>
        </w:drawing>
      </w:r>
    </w:p>
    <w:p>
      <w:pPr>
        <w:spacing w:after="0" w:line="99" w:lineRule="exact"/>
        <w:rPr>
          <w:sz w:val="20"/>
          <w:szCs w:val="20"/>
          <w:color w:val="auto"/>
        </w:rPr>
      </w:pPr>
    </w:p>
    <w:p>
      <w:pPr>
        <w:jc w:val="right"/>
        <w:ind w:right="20"/>
        <w:spacing w:after="0"/>
        <w:tabs>
          <w:tab w:leader="none" w:pos="440" w:val="left"/>
          <w:tab w:leader="none" w:pos="1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11</w:t>
      </w:r>
    </w:p>
    <w:p>
      <w:pPr>
        <w:sectPr>
          <w:pgSz w:w="11900" w:h="16838" w:orient="portrait"/>
          <w:cols w:equalWidth="0" w:num="1">
            <w:col w:w="10360"/>
          </w:cols>
          <w:pgMar w:left="320" w:top="433" w:right="1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Audit Committee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1A475F"/>
        </w:rPr>
        <w:t xml:space="preserve">Current Members: </w:t>
      </w:r>
      <w:r>
        <w:rPr>
          <w:rFonts w:ascii="Arial" w:cs="Arial" w:eastAsia="Arial" w:hAnsi="Arial"/>
          <w:sz w:val="15"/>
          <w:szCs w:val="15"/>
          <w:color w:val="1A475F"/>
        </w:rPr>
        <w:t>Lawrence M. Alleva, Chair | Laurel J. Richie | Mary Ann Tocio</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1A475F"/>
        </w:rPr>
        <w:t xml:space="preserve">Audit Committee Financial Expert: </w:t>
      </w:r>
      <w:r>
        <w:rPr>
          <w:rFonts w:ascii="Arial" w:cs="Arial" w:eastAsia="Arial" w:hAnsi="Arial"/>
          <w:sz w:val="15"/>
          <w:szCs w:val="15"/>
          <w:color w:val="1A475F"/>
        </w:rPr>
        <w:t>Lawrence M. Alleva</w:t>
      </w:r>
    </w:p>
    <w:p>
      <w:pPr>
        <w:spacing w:after="0" w:line="172" w:lineRule="exact"/>
        <w:rPr>
          <w:sz w:val="20"/>
          <w:szCs w:val="20"/>
          <w:color w:val="auto"/>
        </w:rPr>
      </w:pPr>
    </w:p>
    <w:p>
      <w:pPr>
        <w:ind w:left="900" w:right="80" w:firstLine="756"/>
        <w:spacing w:after="0" w:line="247" w:lineRule="auto"/>
        <w:rPr>
          <w:sz w:val="20"/>
          <w:szCs w:val="20"/>
          <w:color w:val="auto"/>
        </w:rPr>
      </w:pPr>
      <w:r>
        <w:rPr>
          <w:rFonts w:ascii="Arial" w:cs="Arial" w:eastAsia="Arial" w:hAnsi="Arial"/>
          <w:sz w:val="15"/>
          <w:szCs w:val="15"/>
          <w:color w:val="1A475F"/>
        </w:rPr>
        <w:t xml:space="preserve">The Audit Committee’s purpose, roles and responsibilities are set forth in a written Audit Committee charter adopted by the Board, which can be found on the Investor Relations section of our website at </w:t>
      </w:r>
      <w:r>
        <w:rPr>
          <w:rFonts w:ascii="Arial" w:cs="Arial" w:eastAsia="Arial" w:hAnsi="Arial"/>
          <w:sz w:val="15"/>
          <w:szCs w:val="15"/>
          <w:i w:val="1"/>
          <w:iCs w:val="1"/>
          <w:color w:val="1A475F"/>
        </w:rPr>
        <w:t>investors.brighthorizons.com</w:t>
      </w:r>
      <w:r>
        <w:rPr>
          <w:rFonts w:ascii="Arial" w:cs="Arial" w:eastAsia="Arial" w:hAnsi="Arial"/>
          <w:sz w:val="15"/>
          <w:szCs w:val="15"/>
          <w:color w:val="1A475F"/>
        </w:rPr>
        <w:t xml:space="preserve"> under “Governance &amp; Responsibility—Governance Documents.” The Audit Committee’s purpose is to assist the Board in its oversight of (1) the integrity of the consolidated financial statements of the Company, (2) the Company’s compliance with legal and regulatory requirements, (3) the independent auditor’s qualifications and independence, (4) the performance of the Company’s Internal Audit function and independent auditor, (5) the Company’s internal control over financial reporting, (6) the Company’s development and implementation of policies and procedures governing enterprise risk assessment and management, and (7) compliance with ethical standards adopted by the Company. The Audit Committee’s primary duties and responsibilities are to:</w:t>
      </w:r>
    </w:p>
    <w:p>
      <w:pPr>
        <w:spacing w:after="0" w:line="27" w:lineRule="exact"/>
        <w:rPr>
          <w:sz w:val="20"/>
          <w:szCs w:val="20"/>
          <w:color w:val="auto"/>
        </w:rPr>
      </w:pPr>
    </w:p>
    <w:p>
      <w:pPr>
        <w:ind w:left="1640" w:right="100" w:hanging="368"/>
        <w:spacing w:after="0" w:line="261" w:lineRule="auto"/>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Appoint, evaluate, oversee, retain, compensate, terminate and change the registered public accounting firm for the purpose of preparing or issuing an audit report or related work or performing other audit, review or attest services for us. The registered public accounting firm reports directly to the Audit Committee.</w:t>
      </w:r>
    </w:p>
    <w:p>
      <w:pPr>
        <w:spacing w:after="0" w:line="16" w:lineRule="exact"/>
        <w:rPr>
          <w:rFonts w:ascii="Arial" w:cs="Arial" w:eastAsia="Arial" w:hAnsi="Arial"/>
          <w:sz w:val="15"/>
          <w:szCs w:val="15"/>
          <w:color w:val="1A475F"/>
        </w:rPr>
      </w:pPr>
    </w:p>
    <w:p>
      <w:pPr>
        <w:ind w:left="1640" w:right="20" w:hanging="368"/>
        <w:spacing w:after="0" w:line="281" w:lineRule="auto"/>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Pre-approve all auditing services, internal control-related services and permissible non-audit services to be performed for us by our independent auditor.</w:t>
      </w:r>
    </w:p>
    <w:p>
      <w:pPr>
        <w:spacing w:after="0" w:line="1" w:lineRule="exact"/>
        <w:rPr>
          <w:rFonts w:ascii="Arial" w:cs="Arial" w:eastAsia="Arial" w:hAnsi="Arial"/>
          <w:sz w:val="15"/>
          <w:szCs w:val="15"/>
          <w:color w:val="1A475F"/>
        </w:rPr>
      </w:pPr>
    </w:p>
    <w:p>
      <w:pPr>
        <w:ind w:left="1640" w:right="80" w:hanging="368"/>
        <w:spacing w:after="0" w:line="261" w:lineRule="auto"/>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Review and discuss with management and the independent auditor the annual audited and quarterly unaudited financial statements, including reviewing specific disclosures under “Management’s Discussion and Analysis of Financial Condition and Results of Operations.”</w:t>
      </w:r>
    </w:p>
    <w:p>
      <w:pPr>
        <w:spacing w:after="0" w:line="16" w:lineRule="exact"/>
        <w:rPr>
          <w:rFonts w:ascii="Arial" w:cs="Arial" w:eastAsia="Arial" w:hAnsi="Arial"/>
          <w:sz w:val="15"/>
          <w:szCs w:val="15"/>
          <w:color w:val="1A475F"/>
        </w:rPr>
      </w:pPr>
    </w:p>
    <w:p>
      <w:pPr>
        <w:ind w:left="1640" w:right="100" w:hanging="368"/>
        <w:spacing w:after="0" w:line="281" w:lineRule="auto"/>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Review and discuss reports from the independent auditor with regard to critical accounting policies and practices used in such financial statements.</w:t>
      </w:r>
    </w:p>
    <w:p>
      <w:pPr>
        <w:spacing w:after="0" w:line="1" w:lineRule="exact"/>
        <w:rPr>
          <w:rFonts w:ascii="Arial" w:cs="Arial" w:eastAsia="Arial" w:hAnsi="Arial"/>
          <w:sz w:val="15"/>
          <w:szCs w:val="15"/>
          <w:color w:val="1A475F"/>
        </w:rPr>
      </w:pPr>
    </w:p>
    <w:p>
      <w:pPr>
        <w:ind w:left="1640" w:hanging="368"/>
        <w:spacing w:after="0"/>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Review and discuss the critical audit matters.</w:t>
      </w:r>
    </w:p>
    <w:p>
      <w:pPr>
        <w:spacing w:after="0" w:line="59" w:lineRule="exact"/>
        <w:rPr>
          <w:rFonts w:ascii="Arial" w:cs="Arial" w:eastAsia="Arial" w:hAnsi="Arial"/>
          <w:sz w:val="15"/>
          <w:szCs w:val="15"/>
          <w:color w:val="1A475F"/>
        </w:rPr>
      </w:pPr>
    </w:p>
    <w:p>
      <w:pPr>
        <w:jc w:val="both"/>
        <w:ind w:left="1640" w:right="60" w:hanging="368"/>
        <w:spacing w:after="0" w:line="261" w:lineRule="auto"/>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Review and discuss with management, internal auditors and the independent auditor any material issues regarding accounting principles and financial statement presentations made in connection with the preparation of our financial statements, including any significant changes in our selection or application of accounting principles.</w:t>
      </w:r>
    </w:p>
    <w:p>
      <w:pPr>
        <w:spacing w:after="0" w:line="16" w:lineRule="exact"/>
        <w:rPr>
          <w:rFonts w:ascii="Arial" w:cs="Arial" w:eastAsia="Arial" w:hAnsi="Arial"/>
          <w:sz w:val="15"/>
          <w:szCs w:val="15"/>
          <w:color w:val="1A475F"/>
        </w:rPr>
      </w:pPr>
    </w:p>
    <w:p>
      <w:pPr>
        <w:ind w:left="1640" w:right="60" w:hanging="368"/>
        <w:spacing w:after="0" w:line="281" w:lineRule="auto"/>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Review and discuss with management, internal auditors and the independent auditor the adequacy of our internal controls and any special steps or remedial measures adopted in light of any identified material weaknesses or significant deficiencies.</w:t>
      </w:r>
    </w:p>
    <w:p>
      <w:pPr>
        <w:spacing w:after="0" w:line="1" w:lineRule="exact"/>
        <w:rPr>
          <w:rFonts w:ascii="Arial" w:cs="Arial" w:eastAsia="Arial" w:hAnsi="Arial"/>
          <w:sz w:val="15"/>
          <w:szCs w:val="15"/>
          <w:color w:val="1A475F"/>
        </w:rPr>
      </w:pPr>
    </w:p>
    <w:p>
      <w:pPr>
        <w:ind w:left="1640" w:right="480" w:hanging="368"/>
        <w:spacing w:after="0" w:line="281" w:lineRule="auto"/>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Overview, review and discuss with management and the Board the Company’s enterprise-wide risk assessment and risk management and periodically discuss with management the Company’s major financial and accounting risks.</w:t>
      </w:r>
    </w:p>
    <w:p>
      <w:pPr>
        <w:spacing w:after="0" w:line="1" w:lineRule="exact"/>
        <w:rPr>
          <w:rFonts w:ascii="Arial" w:cs="Arial" w:eastAsia="Arial" w:hAnsi="Arial"/>
          <w:sz w:val="15"/>
          <w:szCs w:val="15"/>
          <w:color w:val="1A475F"/>
        </w:rPr>
      </w:pPr>
    </w:p>
    <w:p>
      <w:pPr>
        <w:ind w:left="1640" w:hanging="368"/>
        <w:spacing w:after="0" w:line="281" w:lineRule="auto"/>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Review and discuss with management the results of risk assessments with respect to cybersecurity and data protection and the implementation of the Company’s policies, procedures, processes and controls for management of such risks.</w:t>
      </w:r>
    </w:p>
    <w:p>
      <w:pPr>
        <w:spacing w:after="0" w:line="1" w:lineRule="exact"/>
        <w:rPr>
          <w:rFonts w:ascii="Arial" w:cs="Arial" w:eastAsia="Arial" w:hAnsi="Arial"/>
          <w:sz w:val="15"/>
          <w:szCs w:val="15"/>
          <w:color w:val="1A475F"/>
        </w:rPr>
      </w:pPr>
    </w:p>
    <w:p>
      <w:pPr>
        <w:ind w:left="1640" w:right="20" w:hanging="368"/>
        <w:spacing w:after="0" w:line="281" w:lineRule="auto"/>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Receive regular reports, or more often as necessary, from the Company on cybersecurity incidents and threats and privacy and data security risk exposure.</w:t>
      </w:r>
    </w:p>
    <w:p>
      <w:pPr>
        <w:spacing w:after="0" w:line="1" w:lineRule="exact"/>
        <w:rPr>
          <w:rFonts w:ascii="Arial" w:cs="Arial" w:eastAsia="Arial" w:hAnsi="Arial"/>
          <w:sz w:val="15"/>
          <w:szCs w:val="15"/>
          <w:color w:val="1A475F"/>
        </w:rPr>
      </w:pPr>
    </w:p>
    <w:p>
      <w:pPr>
        <w:ind w:left="1640" w:hanging="368"/>
        <w:spacing w:after="0"/>
        <w:tabs>
          <w:tab w:leader="none" w:pos="1640" w:val="left"/>
        </w:tabs>
        <w:numPr>
          <w:ilvl w:val="0"/>
          <w:numId w:val="18"/>
        </w:numPr>
        <w:rPr>
          <w:rFonts w:ascii="Arial" w:cs="Arial" w:eastAsia="Arial" w:hAnsi="Arial"/>
          <w:sz w:val="15"/>
          <w:szCs w:val="15"/>
          <w:color w:val="1A475F"/>
        </w:rPr>
      </w:pPr>
      <w:r>
        <w:rPr>
          <w:rFonts w:ascii="Arial" w:cs="Arial" w:eastAsia="Arial" w:hAnsi="Arial"/>
          <w:sz w:val="15"/>
          <w:szCs w:val="15"/>
          <w:color w:val="1A475F"/>
        </w:rPr>
        <w:t>Review and approve related person transactions.</w:t>
      </w:r>
    </w:p>
    <w:p>
      <w:pPr>
        <w:spacing w:after="0" w:line="186" w:lineRule="exact"/>
        <w:rPr>
          <w:sz w:val="20"/>
          <w:szCs w:val="20"/>
          <w:color w:val="auto"/>
        </w:rPr>
      </w:pPr>
    </w:p>
    <w:p>
      <w:pPr>
        <w:ind w:left="900" w:right="80" w:firstLine="756"/>
        <w:spacing w:after="0" w:line="255" w:lineRule="auto"/>
        <w:rPr>
          <w:sz w:val="20"/>
          <w:szCs w:val="20"/>
          <w:color w:val="auto"/>
        </w:rPr>
      </w:pPr>
      <w:r>
        <w:rPr>
          <w:rFonts w:ascii="Arial" w:cs="Arial" w:eastAsia="Arial" w:hAnsi="Arial"/>
          <w:sz w:val="15"/>
          <w:szCs w:val="15"/>
          <w:color w:val="1A475F"/>
        </w:rPr>
        <w:t>The Board has determined that all of the members of the Audit Committee are independent directors pursuant to Rule 10A-3(b)(1) under the Securities Exchange Act of 1934, as amended (the “Exchange Act”), and NYSE Rules. All of our members are financially literate, and Mr. Alleva is also considered an “audit committee financial expert” within the meaning of the applicable rules of the SEC. The Audit Committee’s Report is included on page 58 of this Proxy Statement.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Compensation Committee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1A475F"/>
        </w:rPr>
        <w:t xml:space="preserve">Current Members: </w:t>
      </w:r>
      <w:r>
        <w:rPr>
          <w:rFonts w:ascii="Arial" w:cs="Arial" w:eastAsia="Arial" w:hAnsi="Arial"/>
          <w:sz w:val="15"/>
          <w:szCs w:val="15"/>
          <w:color w:val="1A475F"/>
        </w:rPr>
        <w:t>Jordan Hitch, Chair | Joshua Bekenstein | Jennifer Schulz</w:t>
      </w:r>
    </w:p>
    <w:p>
      <w:pPr>
        <w:spacing w:after="0" w:line="80" w:lineRule="exact"/>
        <w:rPr>
          <w:sz w:val="20"/>
          <w:szCs w:val="20"/>
          <w:color w:val="auto"/>
        </w:rPr>
      </w:pPr>
    </w:p>
    <w:p>
      <w:pPr>
        <w:ind w:left="900" w:right="80" w:firstLine="756"/>
        <w:spacing w:after="0" w:line="261" w:lineRule="auto"/>
        <w:rPr>
          <w:sz w:val="20"/>
          <w:szCs w:val="20"/>
          <w:color w:val="auto"/>
        </w:rPr>
      </w:pPr>
      <w:r>
        <w:rPr>
          <w:rFonts w:ascii="Arial" w:cs="Arial" w:eastAsia="Arial" w:hAnsi="Arial"/>
          <w:sz w:val="15"/>
          <w:szCs w:val="15"/>
          <w:color w:val="1A475F"/>
        </w:rPr>
        <w:t xml:space="preserve">The Compensation Committee’s purpose, roles and responsibilities are set forth in a written Compensation Committee charter adopted by the Board, which can be found on the Investor Relations section of our website at </w:t>
      </w:r>
      <w:r>
        <w:rPr>
          <w:rFonts w:ascii="Arial" w:cs="Arial" w:eastAsia="Arial" w:hAnsi="Arial"/>
          <w:sz w:val="15"/>
          <w:szCs w:val="15"/>
          <w:i w:val="1"/>
          <w:iCs w:val="1"/>
          <w:color w:val="1A475F"/>
        </w:rPr>
        <w:t>investors.brighthorizons.com</w:t>
      </w:r>
      <w:r>
        <w:rPr>
          <w:rFonts w:ascii="Arial" w:cs="Arial" w:eastAsia="Arial" w:hAnsi="Arial"/>
          <w:sz w:val="15"/>
          <w:szCs w:val="15"/>
          <w:color w:val="1A475F"/>
        </w:rPr>
        <w:t xml:space="preserve"> under “Governance &amp; Responsibility—Governance Documents.” The Compensation Committee’s primary duties and responsibilities are to:</w:t>
      </w:r>
    </w:p>
    <w:p>
      <w:pPr>
        <w:spacing w:after="0" w:line="16" w:lineRule="exact"/>
        <w:rPr>
          <w:sz w:val="20"/>
          <w:szCs w:val="20"/>
          <w:color w:val="auto"/>
        </w:rPr>
      </w:pPr>
    </w:p>
    <w:p>
      <w:pPr>
        <w:ind w:left="1640" w:right="120" w:hanging="368"/>
        <w:spacing w:after="0" w:line="282" w:lineRule="auto"/>
        <w:tabs>
          <w:tab w:leader="none" w:pos="1640" w:val="left"/>
        </w:tabs>
        <w:numPr>
          <w:ilvl w:val="0"/>
          <w:numId w:val="19"/>
        </w:numPr>
        <w:rPr>
          <w:rFonts w:ascii="Arial" w:cs="Arial" w:eastAsia="Arial" w:hAnsi="Arial"/>
          <w:sz w:val="15"/>
          <w:szCs w:val="15"/>
          <w:color w:val="1A475F"/>
        </w:rPr>
      </w:pPr>
      <w:r>
        <w:rPr>
          <w:rFonts w:ascii="Arial" w:cs="Arial" w:eastAsia="Arial" w:hAnsi="Arial"/>
          <w:sz w:val="15"/>
          <w:szCs w:val="15"/>
          <w:color w:val="1A475F"/>
        </w:rPr>
        <w:t>Assist the Board in fulfilling its responsibilities relating to oversight of the compensation of our directors, executive officers and other employees and the administration of our benefits and equity-based compensation programs.</w:t>
      </w:r>
    </w:p>
    <w:p>
      <w:pPr>
        <w:spacing w:after="0" w:line="67"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12</w:t>
        <w:tab/>
        <w:t>|    Bright Horizons </w:t>
      </w:r>
    </w:p>
    <w:p>
      <w:pPr>
        <w:sectPr>
          <w:pgSz w:w="11900" w:h="16838" w:orient="portrait"/>
          <w:cols w:equalWidth="0" w:num="1">
            <w:col w:w="10320"/>
          </w:cols>
          <w:pgMar w:left="320" w:top="433" w:right="1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1640" w:hanging="368"/>
        <w:spacing w:after="0"/>
        <w:tabs>
          <w:tab w:leader="none" w:pos="1640" w:val="left"/>
        </w:tabs>
        <w:numPr>
          <w:ilvl w:val="0"/>
          <w:numId w:val="20"/>
        </w:numPr>
        <w:rPr>
          <w:rFonts w:ascii="Arial" w:cs="Arial" w:eastAsia="Arial" w:hAnsi="Arial"/>
          <w:sz w:val="15"/>
          <w:szCs w:val="15"/>
          <w:color w:val="1A475F"/>
        </w:rPr>
      </w:pPr>
      <w:r>
        <w:rPr>
          <w:rFonts w:ascii="Arial" w:cs="Arial" w:eastAsia="Arial" w:hAnsi="Arial"/>
          <w:sz w:val="15"/>
          <w:szCs w:val="15"/>
          <w:color w:val="1A475F"/>
        </w:rPr>
        <w:t>Approve the compensation plans, policies and programs and approve specific compensation levels for our executive officers.</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20"/>
        </w:numPr>
        <w:rPr>
          <w:rFonts w:ascii="Arial" w:cs="Arial" w:eastAsia="Arial" w:hAnsi="Arial"/>
          <w:sz w:val="15"/>
          <w:szCs w:val="15"/>
          <w:color w:val="1A475F"/>
        </w:rPr>
      </w:pPr>
      <w:r>
        <w:rPr>
          <w:rFonts w:ascii="Arial" w:cs="Arial" w:eastAsia="Arial" w:hAnsi="Arial"/>
          <w:sz w:val="15"/>
          <w:szCs w:val="15"/>
          <w:color w:val="1A475F"/>
        </w:rPr>
        <w:t>Review and recommend the compensation structure for directors.</w:t>
      </w:r>
    </w:p>
    <w:p>
      <w:pPr>
        <w:spacing w:after="0" w:line="59" w:lineRule="exact"/>
        <w:rPr>
          <w:rFonts w:ascii="Arial" w:cs="Arial" w:eastAsia="Arial" w:hAnsi="Arial"/>
          <w:sz w:val="15"/>
          <w:szCs w:val="15"/>
          <w:color w:val="1A475F"/>
        </w:rPr>
      </w:pPr>
    </w:p>
    <w:p>
      <w:pPr>
        <w:ind w:left="1640" w:right="520" w:hanging="368"/>
        <w:spacing w:after="0" w:line="261" w:lineRule="auto"/>
        <w:tabs>
          <w:tab w:leader="none" w:pos="1640" w:val="left"/>
        </w:tabs>
        <w:numPr>
          <w:ilvl w:val="0"/>
          <w:numId w:val="20"/>
        </w:numPr>
        <w:rPr>
          <w:rFonts w:ascii="Arial" w:cs="Arial" w:eastAsia="Arial" w:hAnsi="Arial"/>
          <w:sz w:val="15"/>
          <w:szCs w:val="15"/>
          <w:color w:val="1A475F"/>
        </w:rPr>
      </w:pPr>
      <w:r>
        <w:rPr>
          <w:rFonts w:ascii="Arial" w:cs="Arial" w:eastAsia="Arial" w:hAnsi="Arial"/>
          <w:sz w:val="15"/>
          <w:szCs w:val="15"/>
          <w:color w:val="1A475F"/>
        </w:rPr>
        <w:t>Assist the Board in developing and evaluating potential candidates for executive positions (including the Chief Executive Officer) and oversee the development of executive succession plans, including succession planning in the event of an emergency.</w:t>
      </w:r>
    </w:p>
    <w:p>
      <w:pPr>
        <w:spacing w:after="0" w:line="16" w:lineRule="exact"/>
        <w:rPr>
          <w:rFonts w:ascii="Arial" w:cs="Arial" w:eastAsia="Arial" w:hAnsi="Arial"/>
          <w:sz w:val="15"/>
          <w:szCs w:val="15"/>
          <w:color w:val="1A475F"/>
        </w:rPr>
      </w:pPr>
    </w:p>
    <w:p>
      <w:pPr>
        <w:ind w:left="1640" w:hanging="368"/>
        <w:spacing w:after="0"/>
        <w:tabs>
          <w:tab w:leader="none" w:pos="1640" w:val="left"/>
        </w:tabs>
        <w:numPr>
          <w:ilvl w:val="0"/>
          <w:numId w:val="20"/>
        </w:numPr>
        <w:rPr>
          <w:rFonts w:ascii="Arial" w:cs="Arial" w:eastAsia="Arial" w:hAnsi="Arial"/>
          <w:sz w:val="15"/>
          <w:szCs w:val="15"/>
          <w:color w:val="1A475F"/>
        </w:rPr>
      </w:pPr>
      <w:r>
        <w:rPr>
          <w:rFonts w:ascii="Arial" w:cs="Arial" w:eastAsia="Arial" w:hAnsi="Arial"/>
          <w:sz w:val="15"/>
          <w:szCs w:val="15"/>
          <w:color w:val="1A475F"/>
        </w:rPr>
        <w:t>Make recommendations to the Board regarding employee incentive compensation plans and equity-based plans.</w:t>
      </w:r>
    </w:p>
    <w:p>
      <w:pPr>
        <w:spacing w:after="0" w:line="59" w:lineRule="exact"/>
        <w:rPr>
          <w:rFonts w:ascii="Arial" w:cs="Arial" w:eastAsia="Arial" w:hAnsi="Arial"/>
          <w:sz w:val="15"/>
          <w:szCs w:val="15"/>
          <w:color w:val="1A475F"/>
        </w:rPr>
      </w:pPr>
    </w:p>
    <w:p>
      <w:pPr>
        <w:ind w:left="1640" w:right="100" w:hanging="368"/>
        <w:spacing w:after="0" w:line="281" w:lineRule="auto"/>
        <w:tabs>
          <w:tab w:leader="none" w:pos="1640" w:val="left"/>
        </w:tabs>
        <w:numPr>
          <w:ilvl w:val="0"/>
          <w:numId w:val="20"/>
        </w:numPr>
        <w:rPr>
          <w:rFonts w:ascii="Arial" w:cs="Arial" w:eastAsia="Arial" w:hAnsi="Arial"/>
          <w:sz w:val="15"/>
          <w:szCs w:val="15"/>
          <w:color w:val="1A475F"/>
        </w:rPr>
      </w:pPr>
      <w:r>
        <w:rPr>
          <w:rFonts w:ascii="Arial" w:cs="Arial" w:eastAsia="Arial" w:hAnsi="Arial"/>
          <w:sz w:val="15"/>
          <w:szCs w:val="15"/>
          <w:color w:val="1A475F"/>
        </w:rPr>
        <w:t>Review risks related to executive compensation and the design of compensation plans including that the Company’s executive compensation program, plans and arrangements do not encourage excessive risk-taking.</w:t>
      </w:r>
    </w:p>
    <w:p>
      <w:pPr>
        <w:spacing w:after="0" w:line="1" w:lineRule="exact"/>
        <w:rPr>
          <w:rFonts w:ascii="Arial" w:cs="Arial" w:eastAsia="Arial" w:hAnsi="Arial"/>
          <w:sz w:val="15"/>
          <w:szCs w:val="15"/>
          <w:color w:val="1A475F"/>
        </w:rPr>
      </w:pPr>
    </w:p>
    <w:p>
      <w:pPr>
        <w:ind w:left="1640" w:hanging="368"/>
        <w:spacing w:after="0"/>
        <w:tabs>
          <w:tab w:leader="none" w:pos="1640" w:val="left"/>
        </w:tabs>
        <w:numPr>
          <w:ilvl w:val="0"/>
          <w:numId w:val="20"/>
        </w:numPr>
        <w:rPr>
          <w:rFonts w:ascii="Arial" w:cs="Arial" w:eastAsia="Arial" w:hAnsi="Arial"/>
          <w:sz w:val="15"/>
          <w:szCs w:val="15"/>
          <w:color w:val="1A475F"/>
        </w:rPr>
      </w:pPr>
      <w:r>
        <w:rPr>
          <w:rFonts w:ascii="Arial" w:cs="Arial" w:eastAsia="Arial" w:hAnsi="Arial"/>
          <w:sz w:val="15"/>
          <w:szCs w:val="15"/>
          <w:color w:val="1A475F"/>
        </w:rPr>
        <w:t>Oversee compliance with shareholder approval of executive compensation matters, including advisory votes.</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20"/>
        </w:numPr>
        <w:rPr>
          <w:rFonts w:ascii="Arial" w:cs="Arial" w:eastAsia="Arial" w:hAnsi="Arial"/>
          <w:sz w:val="15"/>
          <w:szCs w:val="15"/>
          <w:color w:val="1A475F"/>
        </w:rPr>
      </w:pPr>
      <w:r>
        <w:rPr>
          <w:rFonts w:ascii="Arial" w:cs="Arial" w:eastAsia="Arial" w:hAnsi="Arial"/>
          <w:sz w:val="15"/>
          <w:szCs w:val="15"/>
          <w:color w:val="1A475F"/>
        </w:rPr>
        <w:t>Review and make recommendations to the Board with respect to any shareholders’ proposals related to compensation matters.</w:t>
      </w:r>
    </w:p>
    <w:p>
      <w:pPr>
        <w:spacing w:after="0" w:line="186" w:lineRule="exact"/>
        <w:rPr>
          <w:sz w:val="20"/>
          <w:szCs w:val="20"/>
          <w:color w:val="auto"/>
        </w:rPr>
      </w:pPr>
    </w:p>
    <w:p>
      <w:pPr>
        <w:ind w:left="900" w:firstLine="756"/>
        <w:spacing w:after="0" w:line="246" w:lineRule="auto"/>
        <w:rPr>
          <w:sz w:val="20"/>
          <w:szCs w:val="20"/>
          <w:color w:val="auto"/>
        </w:rPr>
      </w:pPr>
      <w:r>
        <w:rPr>
          <w:rFonts w:ascii="Arial" w:cs="Arial" w:eastAsia="Arial" w:hAnsi="Arial"/>
          <w:sz w:val="15"/>
          <w:szCs w:val="15"/>
          <w:color w:val="1A475F"/>
        </w:rPr>
        <w:t>The Board has determined that all of the members of the Compensation Committee are independent directors pursuant to NYSE Rules. Pursuant to its charter and the Company’s 2012 Omnibus Long-Term Incentive Plan, as Amended and Restated (the “Equity Plan”), the Compensation Committee has the authority to delegate to one or more Board members or subcommittees any of its duties and responsibilities, and to delegate to officers, the power to grant awards, when appropriate. The Compensation Committee, in its role as administrator under the Equity Plan, approved the delegation of authority to Mr. Kramer, both a Board member and the Company’s Chief Executive Officer, to grant equity awards, among other actions, under the Equity Plan within certain specified parameters. In addition, the Compensation Committee has the authority to retain or obtain the advice of a compensation consultant, independent legal counsel or other advisor, after taking into consideration all factors relevant to the adviser’s independence from management, including those specified in Section 303A.05(c) of the NYSE Rules.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Nominating and Corporate Governance Committee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1A475F"/>
        </w:rPr>
        <w:t xml:space="preserve">Current Members: </w:t>
      </w:r>
      <w:r>
        <w:rPr>
          <w:rFonts w:ascii="Arial" w:cs="Arial" w:eastAsia="Arial" w:hAnsi="Arial"/>
          <w:sz w:val="15"/>
          <w:szCs w:val="15"/>
          <w:color w:val="1A475F"/>
        </w:rPr>
        <w:t>Laurel J. Richie, Chair | Julie Atkinson | Jordan Hitch</w:t>
      </w:r>
    </w:p>
    <w:p>
      <w:pPr>
        <w:spacing w:after="0" w:line="172" w:lineRule="exact"/>
        <w:rPr>
          <w:sz w:val="20"/>
          <w:szCs w:val="20"/>
          <w:color w:val="auto"/>
        </w:rPr>
      </w:pPr>
    </w:p>
    <w:p>
      <w:pPr>
        <w:ind w:left="900" w:right="240" w:firstLine="756"/>
        <w:spacing w:after="0" w:line="255" w:lineRule="auto"/>
        <w:rPr>
          <w:sz w:val="20"/>
          <w:szCs w:val="20"/>
          <w:color w:val="auto"/>
        </w:rPr>
      </w:pPr>
      <w:r>
        <w:rPr>
          <w:rFonts w:ascii="Arial" w:cs="Arial" w:eastAsia="Arial" w:hAnsi="Arial"/>
          <w:sz w:val="15"/>
          <w:szCs w:val="15"/>
          <w:color w:val="1A475F"/>
        </w:rPr>
        <w:t xml:space="preserve">The Nominating and Corporate Governance Committee’s purpose, roles and responsibilities are set forth in a written charter adopted by the Board, which can be found on the Investor Relations section of our website at </w:t>
      </w:r>
      <w:r>
        <w:rPr>
          <w:rFonts w:ascii="Arial" w:cs="Arial" w:eastAsia="Arial" w:hAnsi="Arial"/>
          <w:sz w:val="15"/>
          <w:szCs w:val="15"/>
          <w:i w:val="1"/>
          <w:iCs w:val="1"/>
          <w:color w:val="1A475F"/>
        </w:rPr>
        <w:t>investors.brighthorizons.com</w:t>
      </w:r>
      <w:r>
        <w:rPr>
          <w:rFonts w:ascii="Arial" w:cs="Arial" w:eastAsia="Arial" w:hAnsi="Arial"/>
          <w:sz w:val="15"/>
          <w:szCs w:val="15"/>
          <w:color w:val="1A475F"/>
        </w:rPr>
        <w:t xml:space="preserve"> under “Governance &amp; Responsibility—Governance Documents.” The Nominating and Corporate Governance Committee’s primary duties and responsibilities are to:</w:t>
      </w:r>
    </w:p>
    <w:p>
      <w:pPr>
        <w:spacing w:after="0" w:line="19" w:lineRule="exact"/>
        <w:rPr>
          <w:sz w:val="20"/>
          <w:szCs w:val="20"/>
          <w:color w:val="auto"/>
        </w:rPr>
      </w:pPr>
    </w:p>
    <w:p>
      <w:pPr>
        <w:ind w:left="1640" w:hanging="368"/>
        <w:spacing w:after="0"/>
        <w:tabs>
          <w:tab w:leader="none" w:pos="1640" w:val="left"/>
        </w:tabs>
        <w:numPr>
          <w:ilvl w:val="0"/>
          <w:numId w:val="21"/>
        </w:numPr>
        <w:rPr>
          <w:rFonts w:ascii="Arial" w:cs="Arial" w:eastAsia="Arial" w:hAnsi="Arial"/>
          <w:sz w:val="15"/>
          <w:szCs w:val="15"/>
          <w:color w:val="1A475F"/>
        </w:rPr>
      </w:pPr>
      <w:r>
        <w:rPr>
          <w:rFonts w:ascii="Arial" w:cs="Arial" w:eastAsia="Arial" w:hAnsi="Arial"/>
          <w:sz w:val="15"/>
          <w:szCs w:val="15"/>
          <w:color w:val="1A475F"/>
        </w:rPr>
        <w:t>Identify individuals qualified to become members of the Board consistent with criteria approved by the Board.</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21"/>
        </w:numPr>
        <w:rPr>
          <w:rFonts w:ascii="Arial" w:cs="Arial" w:eastAsia="Arial" w:hAnsi="Arial"/>
          <w:sz w:val="15"/>
          <w:szCs w:val="15"/>
          <w:color w:val="1A475F"/>
        </w:rPr>
      </w:pPr>
      <w:r>
        <w:rPr>
          <w:rFonts w:ascii="Arial" w:cs="Arial" w:eastAsia="Arial" w:hAnsi="Arial"/>
          <w:sz w:val="15"/>
          <w:szCs w:val="15"/>
          <w:color w:val="1A475F"/>
        </w:rPr>
        <w:t>Recommend to the Board director nominees for the next shareholders’ meeting.</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21"/>
        </w:numPr>
        <w:rPr>
          <w:rFonts w:ascii="Arial" w:cs="Arial" w:eastAsia="Arial" w:hAnsi="Arial"/>
          <w:sz w:val="15"/>
          <w:szCs w:val="15"/>
          <w:color w:val="1A475F"/>
        </w:rPr>
      </w:pPr>
      <w:r>
        <w:rPr>
          <w:rFonts w:ascii="Arial" w:cs="Arial" w:eastAsia="Arial" w:hAnsi="Arial"/>
          <w:sz w:val="15"/>
          <w:szCs w:val="15"/>
          <w:color w:val="1A475F"/>
        </w:rPr>
        <w:t>Recommend to the Board the size, structure and composition of the Board and its committees.</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21"/>
        </w:numPr>
        <w:rPr>
          <w:rFonts w:ascii="Arial" w:cs="Arial" w:eastAsia="Arial" w:hAnsi="Arial"/>
          <w:sz w:val="15"/>
          <w:szCs w:val="15"/>
          <w:color w:val="1A475F"/>
        </w:rPr>
      </w:pPr>
      <w:r>
        <w:rPr>
          <w:rFonts w:ascii="Arial" w:cs="Arial" w:eastAsia="Arial" w:hAnsi="Arial"/>
          <w:sz w:val="15"/>
          <w:szCs w:val="15"/>
          <w:color w:val="1A475F"/>
        </w:rPr>
        <w:t>Review the Company’s Corporate Governance Guidelines.</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21"/>
        </w:numPr>
        <w:rPr>
          <w:rFonts w:ascii="Arial" w:cs="Arial" w:eastAsia="Arial" w:hAnsi="Arial"/>
          <w:sz w:val="15"/>
          <w:szCs w:val="15"/>
          <w:color w:val="1A475F"/>
        </w:rPr>
      </w:pPr>
      <w:r>
        <w:rPr>
          <w:rFonts w:ascii="Arial" w:cs="Arial" w:eastAsia="Arial" w:hAnsi="Arial"/>
          <w:sz w:val="15"/>
          <w:szCs w:val="15"/>
          <w:color w:val="1A475F"/>
        </w:rPr>
        <w:t>Oversee director orientation and continuing education.</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21"/>
        </w:numPr>
        <w:rPr>
          <w:rFonts w:ascii="Arial" w:cs="Arial" w:eastAsia="Arial" w:hAnsi="Arial"/>
          <w:sz w:val="15"/>
          <w:szCs w:val="15"/>
          <w:color w:val="1A475F"/>
        </w:rPr>
      </w:pPr>
      <w:r>
        <w:rPr>
          <w:rFonts w:ascii="Arial" w:cs="Arial" w:eastAsia="Arial" w:hAnsi="Arial"/>
          <w:sz w:val="15"/>
          <w:szCs w:val="15"/>
          <w:color w:val="1A475F"/>
        </w:rPr>
        <w:t>Review proposals submitted by shareholders.</w:t>
      </w:r>
    </w:p>
    <w:p>
      <w:pPr>
        <w:spacing w:after="0" w:line="59" w:lineRule="exact"/>
        <w:rPr>
          <w:rFonts w:ascii="Arial" w:cs="Arial" w:eastAsia="Arial" w:hAnsi="Arial"/>
          <w:sz w:val="15"/>
          <w:szCs w:val="15"/>
          <w:color w:val="1A475F"/>
        </w:rPr>
      </w:pPr>
    </w:p>
    <w:p>
      <w:pPr>
        <w:ind w:left="1640" w:right="140" w:hanging="368"/>
        <w:spacing w:after="0" w:line="261" w:lineRule="auto"/>
        <w:tabs>
          <w:tab w:leader="none" w:pos="1640" w:val="left"/>
        </w:tabs>
        <w:numPr>
          <w:ilvl w:val="0"/>
          <w:numId w:val="21"/>
        </w:numPr>
        <w:rPr>
          <w:rFonts w:ascii="Arial" w:cs="Arial" w:eastAsia="Arial" w:hAnsi="Arial"/>
          <w:sz w:val="15"/>
          <w:szCs w:val="15"/>
          <w:color w:val="1A475F"/>
        </w:rPr>
      </w:pPr>
      <w:r>
        <w:rPr>
          <w:rFonts w:ascii="Arial" w:cs="Arial" w:eastAsia="Arial" w:hAnsi="Arial"/>
          <w:sz w:val="15"/>
          <w:szCs w:val="15"/>
          <w:color w:val="1A475F"/>
        </w:rPr>
        <w:t>Provide oversight, monitor and review the Company’s corporate responsibility practice, programs, strategy, initiatives and policies, including receiving periodic reports regarding corporate responsibility efforts, initiatives, and the risks and disclosures related thereto.</w:t>
      </w:r>
    </w:p>
    <w:p>
      <w:pPr>
        <w:spacing w:after="0" w:line="16" w:lineRule="exact"/>
        <w:rPr>
          <w:rFonts w:ascii="Arial" w:cs="Arial" w:eastAsia="Arial" w:hAnsi="Arial"/>
          <w:sz w:val="15"/>
          <w:szCs w:val="15"/>
          <w:color w:val="1A475F"/>
        </w:rPr>
      </w:pPr>
    </w:p>
    <w:p>
      <w:pPr>
        <w:ind w:left="1640" w:hanging="368"/>
        <w:spacing w:after="0"/>
        <w:tabs>
          <w:tab w:leader="none" w:pos="1640" w:val="left"/>
        </w:tabs>
        <w:numPr>
          <w:ilvl w:val="0"/>
          <w:numId w:val="21"/>
        </w:numPr>
        <w:rPr>
          <w:rFonts w:ascii="Arial" w:cs="Arial" w:eastAsia="Arial" w:hAnsi="Arial"/>
          <w:sz w:val="15"/>
          <w:szCs w:val="15"/>
          <w:color w:val="1A475F"/>
        </w:rPr>
      </w:pPr>
      <w:r>
        <w:rPr>
          <w:rFonts w:ascii="Arial" w:cs="Arial" w:eastAsia="Arial" w:hAnsi="Arial"/>
          <w:sz w:val="15"/>
          <w:szCs w:val="15"/>
          <w:color w:val="1A475F"/>
        </w:rPr>
        <w:t>Assist the Board in oversight of the Company’s human capital management policies, strategies and initiatives.</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21"/>
        </w:numPr>
        <w:rPr>
          <w:rFonts w:ascii="Arial" w:cs="Arial" w:eastAsia="Arial" w:hAnsi="Arial"/>
          <w:sz w:val="15"/>
          <w:szCs w:val="15"/>
          <w:color w:val="1A475F"/>
        </w:rPr>
      </w:pPr>
      <w:r>
        <w:rPr>
          <w:rFonts w:ascii="Arial" w:cs="Arial" w:eastAsia="Arial" w:hAnsi="Arial"/>
          <w:sz w:val="15"/>
          <w:szCs w:val="15"/>
          <w:color w:val="1A475F"/>
        </w:rPr>
        <w:t>Oversee the Board’s annual self-assessment.</w:t>
      </w:r>
    </w:p>
    <w:p>
      <w:pPr>
        <w:spacing w:after="0" w:line="186" w:lineRule="exact"/>
        <w:rPr>
          <w:sz w:val="20"/>
          <w:szCs w:val="20"/>
          <w:color w:val="auto"/>
        </w:rPr>
      </w:pPr>
    </w:p>
    <w:p>
      <w:pPr>
        <w:ind w:left="900" w:right="140" w:firstLine="756"/>
        <w:spacing w:after="0" w:line="282" w:lineRule="auto"/>
        <w:rPr>
          <w:sz w:val="20"/>
          <w:szCs w:val="20"/>
          <w:color w:val="auto"/>
        </w:rPr>
      </w:pPr>
      <w:r>
        <w:rPr>
          <w:rFonts w:ascii="Arial" w:cs="Arial" w:eastAsia="Arial" w:hAnsi="Arial"/>
          <w:sz w:val="15"/>
          <w:szCs w:val="15"/>
          <w:color w:val="1A475F"/>
        </w:rPr>
        <w:t>The Board has determined that all of the members of the Nominating and Corporate Governance Committee are independent directors pursuant to NYSE Rules.</w:t>
      </w:r>
    </w:p>
    <w:p>
      <w:pPr>
        <w:spacing w:after="0" w:line="67"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13</w:t>
      </w:r>
    </w:p>
    <w:p>
      <w:pPr>
        <w:sectPr>
          <w:pgSz w:w="11900" w:h="16838" w:orient="portrait"/>
          <w:cols w:equalWidth="0" w:num="1">
            <w:col w:w="10340"/>
          </w:cols>
          <w:pgMar w:left="320" w:top="433" w:right="1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189230</wp:posOffset>
            </wp:positionV>
            <wp:extent cx="5997575" cy="183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Board Leadership and Presiding Director</w:t>
      </w:r>
    </w:p>
    <w:p>
      <w:pPr>
        <w:spacing w:after="0" w:line="154" w:lineRule="exact"/>
        <w:rPr>
          <w:sz w:val="20"/>
          <w:szCs w:val="20"/>
          <w:color w:val="auto"/>
        </w:rPr>
      </w:pPr>
    </w:p>
    <w:p>
      <w:pPr>
        <w:ind w:left="900" w:firstLine="756"/>
        <w:spacing w:after="0" w:line="246" w:lineRule="auto"/>
        <w:rPr>
          <w:sz w:val="20"/>
          <w:szCs w:val="20"/>
          <w:color w:val="auto"/>
        </w:rPr>
      </w:pPr>
      <w:r>
        <w:rPr>
          <w:rFonts w:ascii="Arial" w:cs="Arial" w:eastAsia="Arial" w:hAnsi="Arial"/>
          <w:sz w:val="15"/>
          <w:szCs w:val="15"/>
          <w:color w:val="1A475F"/>
        </w:rPr>
        <w:t>The positions of our Chair of the Board and Chief Executive Officer are currently separate roles. Mr. Lissy serves as the independent Chair of the Board and Mr. Kramer serves as a director and our Chief Executive Officer. While the Board has no set policy with respect to the separation of the offices of Chair and Chief Executive Officer and may review these offices from time to time, the Board has a long-standing practice of separating the offices of the Chair and the Chief Executive Officer. The Board has reviewed its leadership structure and has determined that it is in the best interests of the Company and its shareholders to separate the roles of Chair and Chief Executive Officer. This structure permits Mr. Kramer to devote his attention to leading Bright Horizons and focusing on the Company’s strategic direction and day-to-day leadership and performance of our business and operations, while Mr. Lissy has wide-ranging, in-depth knowledge of our business arising from his many years of service to Bright Horizons and, as a result, provides effective leadership and stewardship for the Board.</w:t>
      </w:r>
    </w:p>
    <w:p>
      <w:pPr>
        <w:spacing w:after="0" w:line="64"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1A475F"/>
        </w:rPr>
        <w:t>Executive sessions of independent directors are presided over by Mr. Hitch, an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142240</wp:posOffset>
            </wp:positionV>
            <wp:extent cx="5997575" cy="183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45"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Succession Planning</w:t>
      </w:r>
    </w:p>
    <w:p>
      <w:pPr>
        <w:spacing w:after="0" w:line="154" w:lineRule="exact"/>
        <w:rPr>
          <w:sz w:val="20"/>
          <w:szCs w:val="20"/>
          <w:color w:val="auto"/>
        </w:rPr>
      </w:pPr>
    </w:p>
    <w:p>
      <w:pPr>
        <w:ind w:left="900" w:right="40" w:firstLine="756"/>
        <w:spacing w:after="0" w:line="255" w:lineRule="auto"/>
        <w:rPr>
          <w:sz w:val="20"/>
          <w:szCs w:val="20"/>
          <w:color w:val="auto"/>
        </w:rPr>
      </w:pPr>
      <w:r>
        <w:rPr>
          <w:rFonts w:ascii="Arial" w:cs="Arial" w:eastAsia="Arial" w:hAnsi="Arial"/>
          <w:sz w:val="15"/>
          <w:szCs w:val="15"/>
          <w:color w:val="1A475F"/>
        </w:rPr>
        <w:t>The Board has the primary responsibility for succession planning for the Chief Executive Officer and oversight of other executive officer positions while the Compensation Committee oversees the development of such succession plans, including succession planning in the event of an emergency. These reviews include consideration and assessment of the most promising leadership talent throughout the Company and roles in which external candidates may need to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117475</wp:posOffset>
            </wp:positionV>
            <wp:extent cx="5997575" cy="183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Board’s Role in Risk Oversight</w:t>
      </w:r>
    </w:p>
    <w:p>
      <w:pPr>
        <w:spacing w:after="0" w:line="154" w:lineRule="exact"/>
        <w:rPr>
          <w:sz w:val="20"/>
          <w:szCs w:val="20"/>
          <w:color w:val="auto"/>
        </w:rPr>
      </w:pPr>
    </w:p>
    <w:p>
      <w:pPr>
        <w:ind w:left="900" w:firstLine="756"/>
        <w:spacing w:after="0" w:line="255" w:lineRule="auto"/>
        <w:rPr>
          <w:sz w:val="20"/>
          <w:szCs w:val="20"/>
          <w:color w:val="auto"/>
        </w:rPr>
      </w:pPr>
      <w:r>
        <w:rPr>
          <w:rFonts w:ascii="Arial" w:cs="Arial" w:eastAsia="Arial" w:hAnsi="Arial"/>
          <w:sz w:val="15"/>
          <w:szCs w:val="15"/>
          <w:color w:val="1A475F"/>
        </w:rPr>
        <w:t>It is management’s responsibility to manage risk and bring to the Board’s attention risks that are material to Bright Horizons. The Board has oversight responsibility for the systems established to report and monitor the most significant risks applicable to Bright Horizons. The Board administers its risk oversight role directly and through its committee structure, the committees’ periodic reports to the Board and periodic reports from management.</w:t>
      </w:r>
    </w:p>
    <w:p>
      <w:pPr>
        <w:spacing w:after="0" w:line="87"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14</w:t>
        <w:tab/>
        <w:t>|    Bright Horizons </w:t>
      </w:r>
    </w:p>
    <w:p>
      <w:pPr>
        <w:sectPr>
          <w:pgSz w:w="11900" w:h="16838" w:orient="portrait"/>
          <w:cols w:equalWidth="0" w:num="1">
            <w:col w:w="10300"/>
          </w:cols>
          <w:pgMar w:left="320" w:top="433" w:right="1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Overview of Board Risk Oversight</w:t>
      </w:r>
    </w:p>
    <w:p>
      <w:pPr>
        <w:spacing w:after="0" w:line="94" w:lineRule="exact"/>
        <w:rPr>
          <w:sz w:val="20"/>
          <w:szCs w:val="20"/>
          <w:color w:val="auto"/>
        </w:rPr>
      </w:pPr>
    </w:p>
    <w:p>
      <w:pPr>
        <w:ind w:left="1280"/>
        <w:spacing w:after="0"/>
        <w:rPr>
          <w:sz w:val="20"/>
          <w:szCs w:val="20"/>
          <w:color w:val="auto"/>
        </w:rPr>
      </w:pPr>
      <w:r>
        <w:rPr>
          <w:rFonts w:ascii="Arial" w:cs="Arial" w:eastAsia="Arial" w:hAnsi="Arial"/>
          <w:sz w:val="15"/>
          <w:szCs w:val="15"/>
          <w:color w:val="1A475F"/>
        </w:rPr>
        <w:t>Below is the risk oversight structure highlighting key areas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142240</wp:posOffset>
            </wp:positionV>
            <wp:extent cx="6005195" cy="1426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05195" cy="1426210"/>
                    </a:xfrm>
                    <a:prstGeom prst="rect">
                      <a:avLst/>
                    </a:prstGeom>
                    <a:noFill/>
                  </pic:spPr>
                </pic:pic>
              </a:graphicData>
            </a:graphic>
          </wp:anchor>
        </w:drawing>
      </w: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FFFFFF"/>
        </w:rPr>
        <w:t>Board Oversight</w:t>
      </w:r>
    </w:p>
    <w:p>
      <w:pPr>
        <w:spacing w:after="0" w:line="39" w:lineRule="exact"/>
        <w:rPr>
          <w:sz w:val="20"/>
          <w:szCs w:val="20"/>
          <w:color w:val="auto"/>
        </w:rPr>
      </w:pPr>
    </w:p>
    <w:p>
      <w:pPr>
        <w:ind w:left="1360" w:hanging="247"/>
        <w:spacing w:after="0"/>
        <w:tabs>
          <w:tab w:leader="none" w:pos="1360" w:val="left"/>
        </w:tabs>
        <w:numPr>
          <w:ilvl w:val="0"/>
          <w:numId w:val="22"/>
        </w:numPr>
        <w:rPr>
          <w:rFonts w:ascii="Arial" w:cs="Arial" w:eastAsia="Arial" w:hAnsi="Arial"/>
          <w:sz w:val="15"/>
          <w:szCs w:val="15"/>
          <w:color w:val="1A475F"/>
        </w:rPr>
      </w:pPr>
      <w:r>
        <w:rPr>
          <w:rFonts w:ascii="Arial" w:cs="Arial" w:eastAsia="Arial" w:hAnsi="Arial"/>
          <w:sz w:val="15"/>
          <w:szCs w:val="15"/>
          <w:color w:val="1A475F"/>
        </w:rPr>
        <w:t>Oversee strategic, financial and execution risks and exposures associated with our annual and long-term plan.</w:t>
      </w:r>
    </w:p>
    <w:p>
      <w:pPr>
        <w:spacing w:after="0" w:line="46" w:lineRule="exact"/>
        <w:rPr>
          <w:rFonts w:ascii="Arial" w:cs="Arial" w:eastAsia="Arial" w:hAnsi="Arial"/>
          <w:sz w:val="15"/>
          <w:szCs w:val="15"/>
          <w:color w:val="1A475F"/>
        </w:rPr>
      </w:pPr>
    </w:p>
    <w:p>
      <w:pPr>
        <w:ind w:left="1360" w:hanging="247"/>
        <w:spacing w:after="0"/>
        <w:tabs>
          <w:tab w:leader="none" w:pos="1360" w:val="left"/>
        </w:tabs>
        <w:numPr>
          <w:ilvl w:val="0"/>
          <w:numId w:val="22"/>
        </w:numPr>
        <w:rPr>
          <w:rFonts w:ascii="Arial" w:cs="Arial" w:eastAsia="Arial" w:hAnsi="Arial"/>
          <w:sz w:val="15"/>
          <w:szCs w:val="15"/>
          <w:color w:val="1A475F"/>
        </w:rPr>
      </w:pPr>
      <w:r>
        <w:rPr>
          <w:rFonts w:ascii="Arial" w:cs="Arial" w:eastAsia="Arial" w:hAnsi="Arial"/>
          <w:sz w:val="15"/>
          <w:szCs w:val="15"/>
          <w:color w:val="1A475F"/>
        </w:rPr>
        <w:t>Review material risks to the operations, plans, prospects, strategy or reputation.</w:t>
      </w:r>
    </w:p>
    <w:p>
      <w:pPr>
        <w:spacing w:after="0" w:line="59" w:lineRule="exact"/>
        <w:rPr>
          <w:rFonts w:ascii="Arial" w:cs="Arial" w:eastAsia="Arial" w:hAnsi="Arial"/>
          <w:sz w:val="15"/>
          <w:szCs w:val="15"/>
          <w:color w:val="1A475F"/>
        </w:rPr>
      </w:pPr>
    </w:p>
    <w:p>
      <w:pPr>
        <w:ind w:left="1360" w:hanging="247"/>
        <w:spacing w:after="0"/>
        <w:tabs>
          <w:tab w:leader="none" w:pos="1360" w:val="left"/>
        </w:tabs>
        <w:numPr>
          <w:ilvl w:val="0"/>
          <w:numId w:val="22"/>
        </w:numPr>
        <w:rPr>
          <w:rFonts w:ascii="Arial" w:cs="Arial" w:eastAsia="Arial" w:hAnsi="Arial"/>
          <w:sz w:val="15"/>
          <w:szCs w:val="15"/>
          <w:color w:val="1A475F"/>
        </w:rPr>
      </w:pPr>
      <w:r>
        <w:rPr>
          <w:rFonts w:ascii="Arial" w:cs="Arial" w:eastAsia="Arial" w:hAnsi="Arial"/>
          <w:sz w:val="15"/>
          <w:szCs w:val="15"/>
          <w:color w:val="1A475F"/>
        </w:rPr>
        <w:t>Annually review the Enterprise Risk Management (“ERM”) Program and receive regular updates on risk exposures.</w:t>
      </w:r>
    </w:p>
    <w:p>
      <w:pPr>
        <w:spacing w:after="0" w:line="59" w:lineRule="exact"/>
        <w:rPr>
          <w:rFonts w:ascii="Arial" w:cs="Arial" w:eastAsia="Arial" w:hAnsi="Arial"/>
          <w:sz w:val="15"/>
          <w:szCs w:val="15"/>
          <w:color w:val="1A475F"/>
        </w:rPr>
      </w:pPr>
    </w:p>
    <w:p>
      <w:pPr>
        <w:ind w:left="1360" w:hanging="247"/>
        <w:spacing w:after="0"/>
        <w:tabs>
          <w:tab w:leader="none" w:pos="1360" w:val="left"/>
        </w:tabs>
        <w:numPr>
          <w:ilvl w:val="0"/>
          <w:numId w:val="22"/>
        </w:numPr>
        <w:rPr>
          <w:rFonts w:ascii="Arial" w:cs="Arial" w:eastAsia="Arial" w:hAnsi="Arial"/>
          <w:sz w:val="15"/>
          <w:szCs w:val="15"/>
          <w:color w:val="1A475F"/>
        </w:rPr>
      </w:pPr>
      <w:r>
        <w:rPr>
          <w:rFonts w:ascii="Arial" w:cs="Arial" w:eastAsia="Arial" w:hAnsi="Arial"/>
          <w:sz w:val="15"/>
          <w:szCs w:val="15"/>
          <w:color w:val="1A475F"/>
        </w:rPr>
        <w:t>Regular oversight of Human Capital Management strategy and initiatives.</w:t>
      </w:r>
    </w:p>
    <w:p>
      <w:pPr>
        <w:spacing w:after="0" w:line="59" w:lineRule="exact"/>
        <w:rPr>
          <w:rFonts w:ascii="Arial" w:cs="Arial" w:eastAsia="Arial" w:hAnsi="Arial"/>
          <w:sz w:val="15"/>
          <w:szCs w:val="15"/>
          <w:color w:val="1A475F"/>
        </w:rPr>
      </w:pPr>
    </w:p>
    <w:p>
      <w:pPr>
        <w:ind w:left="1360" w:right="700" w:hanging="247"/>
        <w:spacing w:after="0" w:line="281" w:lineRule="auto"/>
        <w:tabs>
          <w:tab w:leader="none" w:pos="1360" w:val="left"/>
        </w:tabs>
        <w:numPr>
          <w:ilvl w:val="0"/>
          <w:numId w:val="22"/>
        </w:numPr>
        <w:rPr>
          <w:rFonts w:ascii="Arial" w:cs="Arial" w:eastAsia="Arial" w:hAnsi="Arial"/>
          <w:sz w:val="15"/>
          <w:szCs w:val="15"/>
          <w:color w:val="1A475F"/>
        </w:rPr>
      </w:pPr>
      <w:r>
        <w:rPr>
          <w:rFonts w:ascii="Arial" w:cs="Arial" w:eastAsia="Arial" w:hAnsi="Arial"/>
          <w:sz w:val="15"/>
          <w:szCs w:val="15"/>
          <w:color w:val="1A475F"/>
        </w:rPr>
        <w:t>Monitor risks related to center operations, labor challenges, return-to-work trends, business growth and strategy, business continuity and financial planning and health and safety.</w:t>
      </w:r>
    </w:p>
    <w:p>
      <w:pPr>
        <w:spacing w:after="0" w:line="1" w:lineRule="exact"/>
        <w:rPr>
          <w:rFonts w:ascii="Arial" w:cs="Arial" w:eastAsia="Arial" w:hAnsi="Arial"/>
          <w:sz w:val="15"/>
          <w:szCs w:val="15"/>
          <w:color w:val="1A475F"/>
        </w:rPr>
      </w:pPr>
    </w:p>
    <w:p>
      <w:pPr>
        <w:ind w:left="1360" w:right="160" w:hanging="247"/>
        <w:spacing w:after="0" w:line="281" w:lineRule="auto"/>
        <w:tabs>
          <w:tab w:leader="none" w:pos="1360" w:val="left"/>
        </w:tabs>
        <w:numPr>
          <w:ilvl w:val="0"/>
          <w:numId w:val="22"/>
        </w:numPr>
        <w:rPr>
          <w:rFonts w:ascii="Arial" w:cs="Arial" w:eastAsia="Arial" w:hAnsi="Arial"/>
          <w:sz w:val="15"/>
          <w:szCs w:val="15"/>
          <w:color w:val="1A475F"/>
        </w:rPr>
      </w:pPr>
      <w:r>
        <w:rPr>
          <w:rFonts w:ascii="Arial" w:cs="Arial" w:eastAsia="Arial" w:hAnsi="Arial"/>
          <w:sz w:val="15"/>
          <w:szCs w:val="15"/>
          <w:color w:val="1A475F"/>
        </w:rPr>
        <w:t>Regular reporting from management on business strategy, short- and long-term planning, operations and growth execution across all business lines, financial performance, legal, risk and compliance matters.</w:t>
      </w:r>
    </w:p>
    <w:p>
      <w:pPr>
        <w:spacing w:after="0" w:line="1" w:lineRule="exact"/>
        <w:rPr>
          <w:rFonts w:ascii="Arial" w:cs="Arial" w:eastAsia="Arial" w:hAnsi="Arial"/>
          <w:sz w:val="15"/>
          <w:szCs w:val="15"/>
          <w:color w:val="1A475F"/>
        </w:rPr>
      </w:pPr>
    </w:p>
    <w:p>
      <w:pPr>
        <w:ind w:left="1360" w:hanging="247"/>
        <w:spacing w:after="0"/>
        <w:tabs>
          <w:tab w:leader="none" w:pos="1360" w:val="left"/>
        </w:tabs>
        <w:numPr>
          <w:ilvl w:val="0"/>
          <w:numId w:val="22"/>
        </w:numPr>
        <w:rPr>
          <w:rFonts w:ascii="Arial" w:cs="Arial" w:eastAsia="Arial" w:hAnsi="Arial"/>
          <w:sz w:val="15"/>
          <w:szCs w:val="15"/>
          <w:color w:val="1A475F"/>
        </w:rPr>
      </w:pPr>
      <w:r>
        <w:rPr>
          <w:rFonts w:ascii="Arial" w:cs="Arial" w:eastAsia="Arial" w:hAnsi="Arial"/>
          <w:sz w:val="15"/>
          <w:szCs w:val="15"/>
          <w:color w:val="1A475F"/>
        </w:rPr>
        <w:t>Oversee and monitor risks related to global safeguarding practices and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98425</wp:posOffset>
            </wp:positionV>
            <wp:extent cx="6005195" cy="25139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5195" cy="2513965"/>
                    </a:xfrm>
                    <a:prstGeom prst="rect">
                      <a:avLst/>
                    </a:prstGeom>
                    <a:noFill/>
                  </pic:spPr>
                </pic:pic>
              </a:graphicData>
            </a:graphic>
          </wp:anchor>
        </w:drawing>
      </w:r>
    </w:p>
    <w:p>
      <w:pPr>
        <w:sectPr>
          <w:pgSz w:w="11900" w:h="16838" w:orient="portrait"/>
          <w:cols w:equalWidth="0" w:num="1">
            <w:col w:w="10360"/>
          </w:cols>
          <w:pgMar w:left="320" w:top="433" w:right="121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FFFFFF"/>
        </w:rPr>
        <w:t>Audit Committee</w:t>
      </w:r>
    </w:p>
    <w:p>
      <w:pPr>
        <w:spacing w:after="0" w:line="130" w:lineRule="exact"/>
        <w:rPr>
          <w:sz w:val="20"/>
          <w:szCs w:val="20"/>
          <w:color w:val="auto"/>
        </w:rPr>
      </w:pPr>
    </w:p>
    <w:p>
      <w:pPr>
        <w:ind w:left="1360" w:right="80" w:hanging="247"/>
        <w:spacing w:after="0" w:line="249" w:lineRule="auto"/>
        <w:tabs>
          <w:tab w:leader="none" w:pos="1360" w:val="left"/>
        </w:tabs>
        <w:numPr>
          <w:ilvl w:val="0"/>
          <w:numId w:val="23"/>
        </w:numPr>
        <w:rPr>
          <w:rFonts w:ascii="Arial" w:cs="Arial" w:eastAsia="Arial" w:hAnsi="Arial"/>
          <w:sz w:val="15"/>
          <w:szCs w:val="15"/>
          <w:color w:val="1A475F"/>
        </w:rPr>
      </w:pPr>
      <w:r>
        <w:rPr>
          <w:rFonts w:ascii="Arial" w:cs="Arial" w:eastAsia="Arial" w:hAnsi="Arial"/>
          <w:sz w:val="15"/>
          <w:szCs w:val="15"/>
          <w:color w:val="1A475F"/>
        </w:rPr>
        <w:t>Review internal audit risk assessment and risks associated with financial and accounting matters, financial reporting, accounting, disclosure and internal controls.</w:t>
      </w:r>
    </w:p>
    <w:p>
      <w:pPr>
        <w:spacing w:after="0" w:line="25" w:lineRule="exact"/>
        <w:rPr>
          <w:rFonts w:ascii="Arial" w:cs="Arial" w:eastAsia="Arial" w:hAnsi="Arial"/>
          <w:sz w:val="15"/>
          <w:szCs w:val="15"/>
          <w:color w:val="1A475F"/>
        </w:rPr>
      </w:pPr>
    </w:p>
    <w:p>
      <w:pPr>
        <w:ind w:left="1360" w:hanging="247"/>
        <w:spacing w:after="0" w:line="261" w:lineRule="auto"/>
        <w:tabs>
          <w:tab w:leader="none" w:pos="1360" w:val="left"/>
        </w:tabs>
        <w:numPr>
          <w:ilvl w:val="0"/>
          <w:numId w:val="23"/>
        </w:numPr>
        <w:rPr>
          <w:rFonts w:ascii="Arial" w:cs="Arial" w:eastAsia="Arial" w:hAnsi="Arial"/>
          <w:sz w:val="15"/>
          <w:szCs w:val="15"/>
          <w:color w:val="1A475F"/>
        </w:rPr>
      </w:pPr>
      <w:r>
        <w:rPr>
          <w:rFonts w:ascii="Arial" w:cs="Arial" w:eastAsia="Arial" w:hAnsi="Arial"/>
          <w:sz w:val="15"/>
          <w:szCs w:val="15"/>
          <w:color w:val="1A475F"/>
        </w:rPr>
        <w:t>Oversee ethics and compliance programs, ethics hotline and related person transactions.</w:t>
      </w:r>
    </w:p>
    <w:p>
      <w:pPr>
        <w:spacing w:after="0" w:line="16" w:lineRule="exact"/>
        <w:rPr>
          <w:rFonts w:ascii="Arial" w:cs="Arial" w:eastAsia="Arial" w:hAnsi="Arial"/>
          <w:sz w:val="15"/>
          <w:szCs w:val="15"/>
          <w:color w:val="1A475F"/>
        </w:rPr>
      </w:pPr>
    </w:p>
    <w:p>
      <w:pPr>
        <w:ind w:left="1360" w:right="540" w:hanging="247"/>
        <w:spacing w:after="0" w:line="281" w:lineRule="auto"/>
        <w:tabs>
          <w:tab w:leader="none" w:pos="1360" w:val="left"/>
        </w:tabs>
        <w:numPr>
          <w:ilvl w:val="0"/>
          <w:numId w:val="23"/>
        </w:numPr>
        <w:rPr>
          <w:rFonts w:ascii="Arial" w:cs="Arial" w:eastAsia="Arial" w:hAnsi="Arial"/>
          <w:sz w:val="15"/>
          <w:szCs w:val="15"/>
          <w:color w:val="1A475F"/>
        </w:rPr>
      </w:pPr>
      <w:r>
        <w:rPr>
          <w:rFonts w:ascii="Arial" w:cs="Arial" w:eastAsia="Arial" w:hAnsi="Arial"/>
          <w:sz w:val="15"/>
          <w:szCs w:val="15"/>
          <w:color w:val="1A475F"/>
        </w:rPr>
        <w:t>Review legal and regulatory compliance.</w:t>
      </w:r>
    </w:p>
    <w:p>
      <w:pPr>
        <w:spacing w:after="0" w:line="1" w:lineRule="exact"/>
        <w:rPr>
          <w:rFonts w:ascii="Arial" w:cs="Arial" w:eastAsia="Arial" w:hAnsi="Arial"/>
          <w:sz w:val="15"/>
          <w:szCs w:val="15"/>
          <w:color w:val="1A475F"/>
        </w:rPr>
      </w:pPr>
    </w:p>
    <w:p>
      <w:pPr>
        <w:jc w:val="both"/>
        <w:ind w:left="1360" w:right="280" w:hanging="247"/>
        <w:spacing w:after="0" w:line="261" w:lineRule="auto"/>
        <w:tabs>
          <w:tab w:leader="none" w:pos="1360" w:val="left"/>
        </w:tabs>
        <w:numPr>
          <w:ilvl w:val="0"/>
          <w:numId w:val="23"/>
        </w:numPr>
        <w:rPr>
          <w:rFonts w:ascii="Arial" w:cs="Arial" w:eastAsia="Arial" w:hAnsi="Arial"/>
          <w:sz w:val="15"/>
          <w:szCs w:val="15"/>
          <w:color w:val="1A475F"/>
        </w:rPr>
      </w:pPr>
      <w:r>
        <w:rPr>
          <w:rFonts w:ascii="Arial" w:cs="Arial" w:eastAsia="Arial" w:hAnsi="Arial"/>
          <w:sz w:val="15"/>
          <w:szCs w:val="15"/>
          <w:color w:val="1A475F"/>
        </w:rPr>
        <w:t>Oversee ERM Program and the policies and controls to manage risks.</w:t>
      </w:r>
    </w:p>
    <w:p>
      <w:pPr>
        <w:spacing w:after="0" w:line="16" w:lineRule="exact"/>
        <w:rPr>
          <w:rFonts w:ascii="Arial" w:cs="Arial" w:eastAsia="Arial" w:hAnsi="Arial"/>
          <w:sz w:val="15"/>
          <w:szCs w:val="15"/>
          <w:color w:val="1A475F"/>
        </w:rPr>
      </w:pPr>
    </w:p>
    <w:p>
      <w:pPr>
        <w:jc w:val="both"/>
        <w:ind w:left="1360" w:right="540" w:hanging="247"/>
        <w:spacing w:after="0" w:line="261" w:lineRule="auto"/>
        <w:tabs>
          <w:tab w:leader="none" w:pos="1360" w:val="left"/>
        </w:tabs>
        <w:numPr>
          <w:ilvl w:val="0"/>
          <w:numId w:val="23"/>
        </w:numPr>
        <w:rPr>
          <w:rFonts w:ascii="Arial" w:cs="Arial" w:eastAsia="Arial" w:hAnsi="Arial"/>
          <w:sz w:val="15"/>
          <w:szCs w:val="15"/>
          <w:color w:val="1A475F"/>
        </w:rPr>
      </w:pPr>
      <w:r>
        <w:rPr>
          <w:rFonts w:ascii="Arial" w:cs="Arial" w:eastAsia="Arial" w:hAnsi="Arial"/>
          <w:sz w:val="15"/>
          <w:szCs w:val="15"/>
          <w:color w:val="1A475F"/>
        </w:rPr>
        <w:t>Oversee cybersecurity, data protection, data privacy and business continuity.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63500</wp:posOffset>
            </wp:positionV>
            <wp:extent cx="154305" cy="1250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Borders>
              <w:right w:val="single" w:sz="8" w:color="1A475F"/>
            </w:tcBorders>
            <w:vMerge w:val="restart"/>
          </w:tcPr>
          <w:p>
            <w:pPr>
              <w:ind w:left="500"/>
              <w:spacing w:after="0"/>
              <w:rPr>
                <w:sz w:val="20"/>
                <w:szCs w:val="20"/>
                <w:color w:val="auto"/>
              </w:rPr>
            </w:pPr>
            <w:r>
              <w:rPr>
                <w:rFonts w:ascii="Arial" w:cs="Arial" w:eastAsia="Arial" w:hAnsi="Arial"/>
                <w:sz w:val="15"/>
                <w:szCs w:val="15"/>
                <w:b w:val="1"/>
                <w:bCs w:val="1"/>
                <w:color w:val="FFFFFF"/>
              </w:rPr>
              <w:t>Compensation Committee</w:t>
            </w:r>
          </w:p>
        </w:tc>
        <w:tc>
          <w:tcPr>
            <w:tcW w:w="3520" w:type="dxa"/>
            <w:vAlign w:val="bottom"/>
            <w:tcBorders>
              <w:right w:val="single" w:sz="8" w:color="1A475F"/>
            </w:tcBorders>
          </w:tcPr>
          <w:p>
            <w:pPr>
              <w:ind w:left="340"/>
              <w:spacing w:after="0"/>
              <w:rPr>
                <w:sz w:val="20"/>
                <w:szCs w:val="20"/>
                <w:color w:val="auto"/>
              </w:rPr>
            </w:pPr>
            <w:r>
              <w:rPr>
                <w:rFonts w:ascii="Arial" w:cs="Arial" w:eastAsia="Arial" w:hAnsi="Arial"/>
                <w:sz w:val="15"/>
                <w:szCs w:val="15"/>
                <w:b w:val="1"/>
                <w:bCs w:val="1"/>
                <w:color w:val="FFFFFF"/>
              </w:rPr>
              <w:t>Nominating and Corporate Governance</w:t>
            </w:r>
          </w:p>
        </w:tc>
        <w:tc>
          <w:tcPr>
            <w:tcW w:w="0" w:type="dxa"/>
            <w:vAlign w:val="bottom"/>
          </w:tcPr>
          <w:p>
            <w:pPr>
              <w:spacing w:after="0"/>
              <w:rPr>
                <w:sz w:val="1"/>
                <w:szCs w:val="1"/>
                <w:color w:val="auto"/>
              </w:rPr>
            </w:pPr>
          </w:p>
        </w:tc>
      </w:tr>
      <w:tr>
        <w:trPr>
          <w:trHeight w:val="119"/>
        </w:trPr>
        <w:tc>
          <w:tcPr>
            <w:tcW w:w="2940" w:type="dxa"/>
            <w:vAlign w:val="bottom"/>
            <w:tcBorders>
              <w:right w:val="single" w:sz="8" w:color="1A475F"/>
            </w:tcBorders>
            <w:vMerge w:val="continue"/>
          </w:tcPr>
          <w:p>
            <w:pPr>
              <w:spacing w:after="0"/>
              <w:rPr>
                <w:sz w:val="10"/>
                <w:szCs w:val="10"/>
                <w:color w:val="auto"/>
              </w:rPr>
            </w:pPr>
          </w:p>
        </w:tc>
        <w:tc>
          <w:tcPr>
            <w:tcW w:w="3520" w:type="dxa"/>
            <w:vAlign w:val="bottom"/>
            <w:tcBorders>
              <w:right w:val="single" w:sz="8" w:color="1A475F"/>
            </w:tcBorders>
            <w:vMerge w:val="restart"/>
          </w:tcPr>
          <w:p>
            <w:pPr>
              <w:ind w:left="1380"/>
              <w:spacing w:after="0"/>
              <w:rPr>
                <w:sz w:val="20"/>
                <w:szCs w:val="20"/>
                <w:color w:val="auto"/>
              </w:rPr>
            </w:pPr>
            <w:r>
              <w:rPr>
                <w:rFonts w:ascii="Arial" w:cs="Arial" w:eastAsia="Arial" w:hAnsi="Arial"/>
                <w:sz w:val="15"/>
                <w:szCs w:val="15"/>
                <w:b w:val="1"/>
                <w:bCs w:val="1"/>
                <w:color w:val="FFFFFF"/>
              </w:rPr>
              <w:t>Committee</w:t>
            </w:r>
          </w:p>
        </w:tc>
        <w:tc>
          <w:tcPr>
            <w:tcW w:w="0" w:type="dxa"/>
            <w:vAlign w:val="bottom"/>
          </w:tcPr>
          <w:p>
            <w:pPr>
              <w:spacing w:after="0"/>
              <w:rPr>
                <w:sz w:val="1"/>
                <w:szCs w:val="1"/>
                <w:color w:val="auto"/>
              </w:rPr>
            </w:pPr>
          </w:p>
        </w:tc>
      </w:tr>
      <w:tr>
        <w:trPr>
          <w:trHeight w:val="94"/>
        </w:trPr>
        <w:tc>
          <w:tcPr>
            <w:tcW w:w="2940" w:type="dxa"/>
            <w:vAlign w:val="bottom"/>
            <w:tcBorders>
              <w:bottom w:val="single" w:sz="8" w:color="1A475F"/>
              <w:right w:val="single" w:sz="8" w:color="1A475F"/>
            </w:tcBorders>
          </w:tcPr>
          <w:p>
            <w:pPr>
              <w:spacing w:after="0"/>
              <w:rPr>
                <w:sz w:val="8"/>
                <w:szCs w:val="8"/>
                <w:color w:val="auto"/>
              </w:rPr>
            </w:pPr>
          </w:p>
        </w:tc>
        <w:tc>
          <w:tcPr>
            <w:tcW w:w="3520" w:type="dxa"/>
            <w:vAlign w:val="bottom"/>
            <w:tcBorders>
              <w:bottom w:val="single" w:sz="8" w:color="1A475F"/>
              <w:right w:val="single" w:sz="8" w:color="1A475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940" w:type="dxa"/>
            <w:vAlign w:val="bottom"/>
            <w:tcBorders>
              <w:right w:val="single" w:sz="8" w:color="1A475F"/>
            </w:tcBorders>
          </w:tcPr>
          <w:p>
            <w:pPr>
              <w:ind w:left="60"/>
              <w:spacing w:after="0" w:line="151" w:lineRule="exact"/>
              <w:rPr>
                <w:sz w:val="20"/>
                <w:szCs w:val="20"/>
                <w:color w:val="auto"/>
              </w:rPr>
            </w:pPr>
            <w:r>
              <w:rPr>
                <w:rFonts w:ascii="Arial" w:cs="Arial" w:eastAsia="Arial" w:hAnsi="Arial"/>
                <w:sz w:val="15"/>
                <w:szCs w:val="15"/>
                <w:color w:val="1A475F"/>
              </w:rPr>
              <w:t>•  Evaluate risks related to executive</w:t>
            </w:r>
          </w:p>
        </w:tc>
        <w:tc>
          <w:tcPr>
            <w:tcW w:w="3520" w:type="dxa"/>
            <w:vAlign w:val="bottom"/>
            <w:tcBorders>
              <w:right w:val="single" w:sz="8" w:color="1A475F"/>
            </w:tcBorders>
          </w:tcPr>
          <w:p>
            <w:pPr>
              <w:ind w:left="180"/>
              <w:spacing w:after="0" w:line="151" w:lineRule="exact"/>
              <w:rPr>
                <w:sz w:val="20"/>
                <w:szCs w:val="20"/>
                <w:color w:val="auto"/>
              </w:rPr>
            </w:pPr>
            <w:r>
              <w:rPr>
                <w:rFonts w:ascii="Arial" w:cs="Arial" w:eastAsia="Arial" w:hAnsi="Arial"/>
                <w:sz w:val="15"/>
                <w:szCs w:val="15"/>
                <w:color w:val="1A475F"/>
              </w:rPr>
              <w:t>•  Oversee Board refreshment and assignment</w:t>
            </w:r>
          </w:p>
        </w:tc>
        <w:tc>
          <w:tcPr>
            <w:tcW w:w="0" w:type="dxa"/>
            <w:vAlign w:val="bottom"/>
          </w:tcPr>
          <w:p>
            <w:pPr>
              <w:spacing w:after="0"/>
              <w:rPr>
                <w:sz w:val="1"/>
                <w:szCs w:val="1"/>
                <w:color w:val="auto"/>
              </w:rPr>
            </w:pPr>
          </w:p>
        </w:tc>
      </w:tr>
      <w:tr>
        <w:trPr>
          <w:trHeight w:val="174"/>
        </w:trPr>
        <w:tc>
          <w:tcPr>
            <w:tcW w:w="2940" w:type="dxa"/>
            <w:vAlign w:val="bottom"/>
            <w:tcBorders>
              <w:right w:val="single" w:sz="8" w:color="1A475F"/>
            </w:tcBorders>
          </w:tcPr>
          <w:p>
            <w:pPr>
              <w:ind w:left="300"/>
              <w:spacing w:after="0"/>
              <w:rPr>
                <w:sz w:val="20"/>
                <w:szCs w:val="20"/>
                <w:color w:val="auto"/>
              </w:rPr>
            </w:pPr>
            <w:r>
              <w:rPr>
                <w:rFonts w:ascii="Arial" w:cs="Arial" w:eastAsia="Arial" w:hAnsi="Arial"/>
                <w:sz w:val="15"/>
                <w:szCs w:val="15"/>
                <w:color w:val="1A475F"/>
              </w:rPr>
              <w:t>compensation and the design of</w:t>
            </w:r>
          </w:p>
        </w:tc>
        <w:tc>
          <w:tcPr>
            <w:tcW w:w="3520" w:type="dxa"/>
            <w:vAlign w:val="bottom"/>
            <w:tcBorders>
              <w:right w:val="single" w:sz="8" w:color="1A475F"/>
            </w:tcBorders>
          </w:tcPr>
          <w:p>
            <w:pPr>
              <w:ind w:left="420"/>
              <w:spacing w:after="0"/>
              <w:rPr>
                <w:sz w:val="20"/>
                <w:szCs w:val="20"/>
                <w:color w:val="auto"/>
              </w:rPr>
            </w:pPr>
            <w:r>
              <w:rPr>
                <w:rFonts w:ascii="Arial" w:cs="Arial" w:eastAsia="Arial" w:hAnsi="Arial"/>
                <w:sz w:val="15"/>
                <w:szCs w:val="15"/>
                <w:color w:val="1A475F"/>
              </w:rPr>
              <w:t>of directors to committees for risk oversight</w:t>
            </w:r>
          </w:p>
        </w:tc>
        <w:tc>
          <w:tcPr>
            <w:tcW w:w="0" w:type="dxa"/>
            <w:vAlign w:val="bottom"/>
          </w:tcPr>
          <w:p>
            <w:pPr>
              <w:spacing w:after="0"/>
              <w:rPr>
                <w:sz w:val="1"/>
                <w:szCs w:val="1"/>
                <w:color w:val="auto"/>
              </w:rPr>
            </w:pPr>
          </w:p>
        </w:tc>
      </w:tr>
      <w:tr>
        <w:trPr>
          <w:trHeight w:val="174"/>
        </w:trPr>
        <w:tc>
          <w:tcPr>
            <w:tcW w:w="2940" w:type="dxa"/>
            <w:vAlign w:val="bottom"/>
            <w:tcBorders>
              <w:right w:val="single" w:sz="8" w:color="1A475F"/>
            </w:tcBorders>
          </w:tcPr>
          <w:p>
            <w:pPr>
              <w:ind w:left="300"/>
              <w:spacing w:after="0"/>
              <w:rPr>
                <w:sz w:val="20"/>
                <w:szCs w:val="20"/>
                <w:color w:val="auto"/>
              </w:rPr>
            </w:pPr>
            <w:r>
              <w:rPr>
                <w:rFonts w:ascii="Arial" w:cs="Arial" w:eastAsia="Arial" w:hAnsi="Arial"/>
                <w:sz w:val="15"/>
                <w:szCs w:val="15"/>
                <w:color w:val="1A475F"/>
              </w:rPr>
              <w:t>compensation programs, plans and</w:t>
            </w:r>
          </w:p>
        </w:tc>
        <w:tc>
          <w:tcPr>
            <w:tcW w:w="3520" w:type="dxa"/>
            <w:vAlign w:val="bottom"/>
            <w:tcBorders>
              <w:right w:val="single" w:sz="8" w:color="1A475F"/>
            </w:tcBorders>
          </w:tcPr>
          <w:p>
            <w:pPr>
              <w:ind w:left="420"/>
              <w:spacing w:after="0"/>
              <w:rPr>
                <w:sz w:val="20"/>
                <w:szCs w:val="20"/>
                <w:color w:val="auto"/>
              </w:rPr>
            </w:pPr>
            <w:r>
              <w:rPr>
                <w:rFonts w:ascii="Arial" w:cs="Arial" w:eastAsia="Arial" w:hAnsi="Arial"/>
                <w:sz w:val="15"/>
                <w:szCs w:val="15"/>
                <w:color w:val="1A475F"/>
              </w:rPr>
              <w:t>and other areas of responsibilities.</w:t>
            </w:r>
          </w:p>
        </w:tc>
        <w:tc>
          <w:tcPr>
            <w:tcW w:w="0" w:type="dxa"/>
            <w:vAlign w:val="bottom"/>
          </w:tcPr>
          <w:p>
            <w:pPr>
              <w:spacing w:after="0"/>
              <w:rPr>
                <w:sz w:val="1"/>
                <w:szCs w:val="1"/>
                <w:color w:val="auto"/>
              </w:rPr>
            </w:pPr>
          </w:p>
        </w:tc>
      </w:tr>
      <w:tr>
        <w:trPr>
          <w:trHeight w:val="174"/>
        </w:trPr>
        <w:tc>
          <w:tcPr>
            <w:tcW w:w="2940" w:type="dxa"/>
            <w:vAlign w:val="bottom"/>
            <w:tcBorders>
              <w:right w:val="single" w:sz="8" w:color="1A475F"/>
            </w:tcBorders>
          </w:tcPr>
          <w:p>
            <w:pPr>
              <w:ind w:left="300"/>
              <w:spacing w:after="0"/>
              <w:rPr>
                <w:sz w:val="20"/>
                <w:szCs w:val="20"/>
                <w:color w:val="auto"/>
              </w:rPr>
            </w:pPr>
            <w:r>
              <w:rPr>
                <w:rFonts w:ascii="Arial" w:cs="Arial" w:eastAsia="Arial" w:hAnsi="Arial"/>
                <w:sz w:val="15"/>
                <w:szCs w:val="15"/>
                <w:color w:val="1A475F"/>
              </w:rPr>
              <w:t>arrangements including that such</w:t>
            </w:r>
          </w:p>
        </w:tc>
        <w:tc>
          <w:tcPr>
            <w:tcW w:w="3520" w:type="dxa"/>
            <w:vAlign w:val="bottom"/>
            <w:tcBorders>
              <w:right w:val="single" w:sz="8" w:color="1A475F"/>
            </w:tcBorders>
            <w:vMerge w:val="restart"/>
          </w:tcPr>
          <w:p>
            <w:pPr>
              <w:ind w:left="180"/>
              <w:spacing w:after="0"/>
              <w:rPr>
                <w:sz w:val="20"/>
                <w:szCs w:val="20"/>
                <w:color w:val="auto"/>
              </w:rPr>
            </w:pPr>
            <w:r>
              <w:rPr>
                <w:rFonts w:ascii="Arial" w:cs="Arial" w:eastAsia="Arial" w:hAnsi="Arial"/>
                <w:sz w:val="15"/>
                <w:szCs w:val="15"/>
                <w:color w:val="1A475F"/>
              </w:rPr>
              <w:t>•  Monitor and review corporate responsibility</w:t>
            </w:r>
          </w:p>
        </w:tc>
        <w:tc>
          <w:tcPr>
            <w:tcW w:w="0" w:type="dxa"/>
            <w:vAlign w:val="bottom"/>
          </w:tcPr>
          <w:p>
            <w:pPr>
              <w:spacing w:after="0"/>
              <w:rPr>
                <w:sz w:val="1"/>
                <w:szCs w:val="1"/>
                <w:color w:val="auto"/>
              </w:rPr>
            </w:pPr>
          </w:p>
        </w:tc>
      </w:tr>
      <w:tr>
        <w:trPr>
          <w:trHeight w:val="58"/>
        </w:trPr>
        <w:tc>
          <w:tcPr>
            <w:tcW w:w="2940" w:type="dxa"/>
            <w:vAlign w:val="bottom"/>
            <w:tcBorders>
              <w:right w:val="single" w:sz="8" w:color="1A475F"/>
            </w:tcBorders>
            <w:vMerge w:val="restart"/>
          </w:tcPr>
          <w:p>
            <w:pPr>
              <w:ind w:left="300"/>
              <w:spacing w:after="0"/>
              <w:rPr>
                <w:sz w:val="20"/>
                <w:szCs w:val="20"/>
                <w:color w:val="auto"/>
              </w:rPr>
            </w:pPr>
            <w:r>
              <w:rPr>
                <w:rFonts w:ascii="Arial" w:cs="Arial" w:eastAsia="Arial" w:hAnsi="Arial"/>
                <w:sz w:val="15"/>
                <w:szCs w:val="15"/>
                <w:color w:val="1A475F"/>
              </w:rPr>
              <w:t>plans do not encourage excessive</w:t>
            </w:r>
          </w:p>
        </w:tc>
        <w:tc>
          <w:tcPr>
            <w:tcW w:w="3520" w:type="dxa"/>
            <w:vAlign w:val="bottom"/>
            <w:tcBorders>
              <w:right w:val="single" w:sz="8" w:color="1A475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940" w:type="dxa"/>
            <w:vAlign w:val="bottom"/>
            <w:tcBorders>
              <w:right w:val="single" w:sz="8" w:color="1A475F"/>
            </w:tcBorders>
            <w:vMerge w:val="continue"/>
          </w:tcPr>
          <w:p>
            <w:pPr>
              <w:spacing w:after="0"/>
              <w:rPr>
                <w:sz w:val="10"/>
                <w:szCs w:val="10"/>
                <w:color w:val="auto"/>
              </w:rPr>
            </w:pPr>
          </w:p>
        </w:tc>
        <w:tc>
          <w:tcPr>
            <w:tcW w:w="3520" w:type="dxa"/>
            <w:vAlign w:val="bottom"/>
            <w:tcBorders>
              <w:right w:val="single" w:sz="8" w:color="1A475F"/>
            </w:tcBorders>
            <w:vMerge w:val="restart"/>
          </w:tcPr>
          <w:p>
            <w:pPr>
              <w:ind w:left="420"/>
              <w:spacing w:after="0"/>
              <w:rPr>
                <w:sz w:val="20"/>
                <w:szCs w:val="20"/>
                <w:color w:val="auto"/>
              </w:rPr>
            </w:pPr>
            <w:r>
              <w:rPr>
                <w:rFonts w:ascii="Arial" w:cs="Arial" w:eastAsia="Arial" w:hAnsi="Arial"/>
                <w:sz w:val="15"/>
                <w:szCs w:val="15"/>
                <w:color w:val="1A475F"/>
              </w:rPr>
              <w:t>practices, programs, strategies, initiatives</w:t>
            </w:r>
          </w:p>
        </w:tc>
        <w:tc>
          <w:tcPr>
            <w:tcW w:w="0" w:type="dxa"/>
            <w:vAlign w:val="bottom"/>
          </w:tcPr>
          <w:p>
            <w:pPr>
              <w:spacing w:after="0"/>
              <w:rPr>
                <w:sz w:val="1"/>
                <w:szCs w:val="1"/>
                <w:color w:val="auto"/>
              </w:rPr>
            </w:pPr>
          </w:p>
        </w:tc>
      </w:tr>
      <w:tr>
        <w:trPr>
          <w:trHeight w:val="58"/>
        </w:trPr>
        <w:tc>
          <w:tcPr>
            <w:tcW w:w="2940" w:type="dxa"/>
            <w:vAlign w:val="bottom"/>
            <w:tcBorders>
              <w:right w:val="single" w:sz="8" w:color="1A475F"/>
            </w:tcBorders>
            <w:vMerge w:val="restart"/>
          </w:tcPr>
          <w:p>
            <w:pPr>
              <w:ind w:left="300"/>
              <w:spacing w:after="0"/>
              <w:rPr>
                <w:sz w:val="20"/>
                <w:szCs w:val="20"/>
                <w:color w:val="auto"/>
              </w:rPr>
            </w:pPr>
            <w:r>
              <w:rPr>
                <w:rFonts w:ascii="Arial" w:cs="Arial" w:eastAsia="Arial" w:hAnsi="Arial"/>
                <w:sz w:val="15"/>
                <w:szCs w:val="15"/>
                <w:color w:val="1A475F"/>
              </w:rPr>
              <w:t>risk taking.</w:t>
            </w:r>
          </w:p>
        </w:tc>
        <w:tc>
          <w:tcPr>
            <w:tcW w:w="3520" w:type="dxa"/>
            <w:vAlign w:val="bottom"/>
            <w:tcBorders>
              <w:right w:val="single" w:sz="8" w:color="1A475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940" w:type="dxa"/>
            <w:vAlign w:val="bottom"/>
            <w:tcBorders>
              <w:right w:val="single" w:sz="8" w:color="1A475F"/>
            </w:tcBorders>
            <w:vMerge w:val="continue"/>
          </w:tcPr>
          <w:p>
            <w:pPr>
              <w:spacing w:after="0"/>
              <w:rPr>
                <w:sz w:val="12"/>
                <w:szCs w:val="12"/>
                <w:color w:val="auto"/>
              </w:rPr>
            </w:pPr>
          </w:p>
        </w:tc>
        <w:tc>
          <w:tcPr>
            <w:tcW w:w="3520" w:type="dxa"/>
            <w:vAlign w:val="bottom"/>
            <w:tcBorders>
              <w:right w:val="single" w:sz="8" w:color="1A475F"/>
            </w:tcBorders>
            <w:vMerge w:val="restart"/>
          </w:tcPr>
          <w:p>
            <w:pPr>
              <w:ind w:left="420"/>
              <w:spacing w:after="0"/>
              <w:rPr>
                <w:sz w:val="20"/>
                <w:szCs w:val="20"/>
                <w:color w:val="auto"/>
              </w:rPr>
            </w:pPr>
            <w:r>
              <w:rPr>
                <w:rFonts w:ascii="Arial" w:cs="Arial" w:eastAsia="Arial" w:hAnsi="Arial"/>
                <w:sz w:val="15"/>
                <w:szCs w:val="15"/>
                <w:color w:val="1A475F"/>
              </w:rPr>
              <w:t>and policies.</w:t>
            </w:r>
          </w:p>
        </w:tc>
        <w:tc>
          <w:tcPr>
            <w:tcW w:w="0" w:type="dxa"/>
            <w:vAlign w:val="bottom"/>
          </w:tcPr>
          <w:p>
            <w:pPr>
              <w:spacing w:after="0"/>
              <w:rPr>
                <w:sz w:val="1"/>
                <w:szCs w:val="1"/>
                <w:color w:val="auto"/>
              </w:rPr>
            </w:pPr>
          </w:p>
        </w:tc>
      </w:tr>
      <w:tr>
        <w:trPr>
          <w:trHeight w:val="58"/>
        </w:trPr>
        <w:tc>
          <w:tcPr>
            <w:tcW w:w="2940" w:type="dxa"/>
            <w:vAlign w:val="bottom"/>
            <w:tcBorders>
              <w:right w:val="single" w:sz="8" w:color="1A475F"/>
            </w:tcBorders>
            <w:vMerge w:val="restart"/>
          </w:tcPr>
          <w:p>
            <w:pPr>
              <w:ind w:left="60"/>
              <w:spacing w:after="0"/>
              <w:rPr>
                <w:sz w:val="20"/>
                <w:szCs w:val="20"/>
                <w:color w:val="auto"/>
              </w:rPr>
            </w:pPr>
            <w:r>
              <w:rPr>
                <w:rFonts w:ascii="Arial" w:cs="Arial" w:eastAsia="Arial" w:hAnsi="Arial"/>
                <w:sz w:val="15"/>
                <w:szCs w:val="15"/>
                <w:color w:val="1A475F"/>
              </w:rPr>
              <w:t>•  Assist in oversight of the development</w:t>
            </w:r>
          </w:p>
        </w:tc>
        <w:tc>
          <w:tcPr>
            <w:tcW w:w="3520" w:type="dxa"/>
            <w:vAlign w:val="bottom"/>
            <w:tcBorders>
              <w:right w:val="single" w:sz="8" w:color="1A475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940" w:type="dxa"/>
            <w:vAlign w:val="bottom"/>
            <w:tcBorders>
              <w:right w:val="single" w:sz="8" w:color="1A475F"/>
            </w:tcBorders>
            <w:vMerge w:val="continue"/>
          </w:tcPr>
          <w:p>
            <w:pPr>
              <w:spacing w:after="0"/>
              <w:rPr>
                <w:sz w:val="12"/>
                <w:szCs w:val="12"/>
                <w:color w:val="auto"/>
              </w:rPr>
            </w:pPr>
          </w:p>
        </w:tc>
        <w:tc>
          <w:tcPr>
            <w:tcW w:w="3520" w:type="dxa"/>
            <w:vAlign w:val="bottom"/>
            <w:tcBorders>
              <w:right w:val="single" w:sz="8" w:color="1A475F"/>
            </w:tcBorders>
            <w:vMerge w:val="restart"/>
          </w:tcPr>
          <w:p>
            <w:pPr>
              <w:ind w:left="180"/>
              <w:spacing w:after="0"/>
              <w:rPr>
                <w:sz w:val="20"/>
                <w:szCs w:val="20"/>
                <w:color w:val="auto"/>
              </w:rPr>
            </w:pPr>
            <w:r>
              <w:rPr>
                <w:rFonts w:ascii="Arial" w:cs="Arial" w:eastAsia="Arial" w:hAnsi="Arial"/>
                <w:sz w:val="15"/>
                <w:szCs w:val="15"/>
                <w:color w:val="1A475F"/>
              </w:rPr>
              <w:t>•  Assist in oversight of the human capital</w:t>
            </w:r>
          </w:p>
        </w:tc>
        <w:tc>
          <w:tcPr>
            <w:tcW w:w="0" w:type="dxa"/>
            <w:vAlign w:val="bottom"/>
          </w:tcPr>
          <w:p>
            <w:pPr>
              <w:spacing w:after="0"/>
              <w:rPr>
                <w:sz w:val="1"/>
                <w:szCs w:val="1"/>
                <w:color w:val="auto"/>
              </w:rPr>
            </w:pPr>
          </w:p>
        </w:tc>
      </w:tr>
      <w:tr>
        <w:trPr>
          <w:trHeight w:val="58"/>
        </w:trPr>
        <w:tc>
          <w:tcPr>
            <w:tcW w:w="2940" w:type="dxa"/>
            <w:vAlign w:val="bottom"/>
            <w:tcBorders>
              <w:right w:val="single" w:sz="8" w:color="1A475F"/>
            </w:tcBorders>
            <w:vMerge w:val="restart"/>
          </w:tcPr>
          <w:p>
            <w:pPr>
              <w:ind w:left="300"/>
              <w:spacing w:after="0"/>
              <w:rPr>
                <w:sz w:val="20"/>
                <w:szCs w:val="20"/>
                <w:color w:val="auto"/>
              </w:rPr>
            </w:pPr>
            <w:r>
              <w:rPr>
                <w:rFonts w:ascii="Arial" w:cs="Arial" w:eastAsia="Arial" w:hAnsi="Arial"/>
                <w:sz w:val="15"/>
                <w:szCs w:val="15"/>
                <w:color w:val="1A475F"/>
              </w:rPr>
              <w:t>of executive and leadership</w:t>
            </w:r>
          </w:p>
        </w:tc>
        <w:tc>
          <w:tcPr>
            <w:tcW w:w="3520" w:type="dxa"/>
            <w:vAlign w:val="bottom"/>
            <w:tcBorders>
              <w:right w:val="single" w:sz="8" w:color="1A475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940" w:type="dxa"/>
            <w:vAlign w:val="bottom"/>
            <w:tcBorders>
              <w:right w:val="single" w:sz="8" w:color="1A475F"/>
            </w:tcBorders>
            <w:vMerge w:val="continue"/>
          </w:tcPr>
          <w:p>
            <w:pPr>
              <w:spacing w:after="0"/>
              <w:rPr>
                <w:sz w:val="10"/>
                <w:szCs w:val="10"/>
                <w:color w:val="auto"/>
              </w:rPr>
            </w:pPr>
          </w:p>
        </w:tc>
        <w:tc>
          <w:tcPr>
            <w:tcW w:w="3520" w:type="dxa"/>
            <w:vAlign w:val="bottom"/>
            <w:tcBorders>
              <w:right w:val="single" w:sz="8" w:color="1A475F"/>
            </w:tcBorders>
            <w:vMerge w:val="restart"/>
          </w:tcPr>
          <w:p>
            <w:pPr>
              <w:ind w:left="420"/>
              <w:spacing w:after="0"/>
              <w:rPr>
                <w:sz w:val="20"/>
                <w:szCs w:val="20"/>
                <w:color w:val="auto"/>
              </w:rPr>
            </w:pPr>
            <w:r>
              <w:rPr>
                <w:rFonts w:ascii="Arial" w:cs="Arial" w:eastAsia="Arial" w:hAnsi="Arial"/>
                <w:sz w:val="15"/>
                <w:szCs w:val="15"/>
                <w:color w:val="1A475F"/>
              </w:rPr>
              <w:t>management strategies, initiatives and</w:t>
            </w:r>
          </w:p>
        </w:tc>
        <w:tc>
          <w:tcPr>
            <w:tcW w:w="0" w:type="dxa"/>
            <w:vAlign w:val="bottom"/>
          </w:tcPr>
          <w:p>
            <w:pPr>
              <w:spacing w:after="0"/>
              <w:rPr>
                <w:sz w:val="1"/>
                <w:szCs w:val="1"/>
                <w:color w:val="auto"/>
              </w:rPr>
            </w:pPr>
          </w:p>
        </w:tc>
      </w:tr>
      <w:tr>
        <w:trPr>
          <w:trHeight w:val="58"/>
        </w:trPr>
        <w:tc>
          <w:tcPr>
            <w:tcW w:w="2940" w:type="dxa"/>
            <w:vAlign w:val="bottom"/>
            <w:tcBorders>
              <w:right w:val="single" w:sz="8" w:color="1A475F"/>
            </w:tcBorders>
            <w:vMerge w:val="restart"/>
          </w:tcPr>
          <w:p>
            <w:pPr>
              <w:ind w:left="300"/>
              <w:spacing w:after="0"/>
              <w:rPr>
                <w:sz w:val="20"/>
                <w:szCs w:val="20"/>
                <w:color w:val="auto"/>
              </w:rPr>
            </w:pPr>
            <w:r>
              <w:rPr>
                <w:rFonts w:ascii="Arial" w:cs="Arial" w:eastAsia="Arial" w:hAnsi="Arial"/>
                <w:sz w:val="15"/>
                <w:szCs w:val="15"/>
                <w:color w:val="1A475F"/>
              </w:rPr>
              <w:t>succession planning.</w:t>
            </w:r>
          </w:p>
        </w:tc>
        <w:tc>
          <w:tcPr>
            <w:tcW w:w="3520" w:type="dxa"/>
            <w:vAlign w:val="bottom"/>
            <w:tcBorders>
              <w:right w:val="single" w:sz="8" w:color="1A475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940" w:type="dxa"/>
            <w:vAlign w:val="bottom"/>
            <w:tcBorders>
              <w:right w:val="single" w:sz="8" w:color="1A475F"/>
            </w:tcBorders>
            <w:vMerge w:val="continue"/>
          </w:tcPr>
          <w:p>
            <w:pPr>
              <w:spacing w:after="0"/>
              <w:rPr>
                <w:sz w:val="12"/>
                <w:szCs w:val="12"/>
                <w:color w:val="auto"/>
              </w:rPr>
            </w:pPr>
          </w:p>
        </w:tc>
        <w:tc>
          <w:tcPr>
            <w:tcW w:w="3520" w:type="dxa"/>
            <w:vAlign w:val="bottom"/>
            <w:tcBorders>
              <w:right w:val="single" w:sz="8" w:color="1A475F"/>
            </w:tcBorders>
            <w:vMerge w:val="restart"/>
          </w:tcPr>
          <w:p>
            <w:pPr>
              <w:ind w:left="420"/>
              <w:spacing w:after="0"/>
              <w:rPr>
                <w:sz w:val="20"/>
                <w:szCs w:val="20"/>
                <w:color w:val="auto"/>
              </w:rPr>
            </w:pPr>
            <w:r>
              <w:rPr>
                <w:rFonts w:ascii="Arial" w:cs="Arial" w:eastAsia="Arial" w:hAnsi="Arial"/>
                <w:sz w:val="15"/>
                <w:szCs w:val="15"/>
                <w:color w:val="1A475F"/>
              </w:rPr>
              <w:t>policies.</w:t>
            </w:r>
          </w:p>
        </w:tc>
        <w:tc>
          <w:tcPr>
            <w:tcW w:w="0" w:type="dxa"/>
            <w:vAlign w:val="bottom"/>
          </w:tcPr>
          <w:p>
            <w:pPr>
              <w:spacing w:after="0"/>
              <w:rPr>
                <w:sz w:val="1"/>
                <w:szCs w:val="1"/>
                <w:color w:val="auto"/>
              </w:rPr>
            </w:pPr>
          </w:p>
        </w:tc>
      </w:tr>
      <w:tr>
        <w:trPr>
          <w:trHeight w:val="58"/>
        </w:trPr>
        <w:tc>
          <w:tcPr>
            <w:tcW w:w="2940" w:type="dxa"/>
            <w:vAlign w:val="bottom"/>
            <w:tcBorders>
              <w:right w:val="single" w:sz="8" w:color="1A475F"/>
            </w:tcBorders>
            <w:vMerge w:val="restart"/>
          </w:tcPr>
          <w:p>
            <w:pPr>
              <w:ind w:left="60"/>
              <w:spacing w:after="0"/>
              <w:rPr>
                <w:sz w:val="20"/>
                <w:szCs w:val="20"/>
                <w:color w:val="auto"/>
              </w:rPr>
            </w:pPr>
            <w:r>
              <w:rPr>
                <w:rFonts w:ascii="Arial" w:cs="Arial" w:eastAsia="Arial" w:hAnsi="Arial"/>
                <w:sz w:val="15"/>
                <w:szCs w:val="15"/>
                <w:color w:val="1A475F"/>
              </w:rPr>
              <w:t>•  Evaluate compensation-related risks</w:t>
            </w:r>
          </w:p>
        </w:tc>
        <w:tc>
          <w:tcPr>
            <w:tcW w:w="3520" w:type="dxa"/>
            <w:vAlign w:val="bottom"/>
            <w:tcBorders>
              <w:right w:val="single" w:sz="8" w:color="1A475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940" w:type="dxa"/>
            <w:vAlign w:val="bottom"/>
            <w:tcBorders>
              <w:right w:val="single" w:sz="8" w:color="1A475F"/>
            </w:tcBorders>
            <w:vMerge w:val="continue"/>
          </w:tcPr>
          <w:p>
            <w:pPr>
              <w:spacing w:after="0"/>
              <w:rPr>
                <w:sz w:val="12"/>
                <w:szCs w:val="12"/>
                <w:color w:val="auto"/>
              </w:rPr>
            </w:pPr>
          </w:p>
        </w:tc>
        <w:tc>
          <w:tcPr>
            <w:tcW w:w="3520" w:type="dxa"/>
            <w:vAlign w:val="bottom"/>
            <w:tcBorders>
              <w:right w:val="single" w:sz="8" w:color="1A475F"/>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40" w:type="dxa"/>
            <w:vAlign w:val="bottom"/>
            <w:tcBorders>
              <w:right w:val="single" w:sz="8" w:color="1A475F"/>
            </w:tcBorders>
          </w:tcPr>
          <w:p>
            <w:pPr>
              <w:ind w:left="300"/>
              <w:spacing w:after="0"/>
              <w:rPr>
                <w:sz w:val="20"/>
                <w:szCs w:val="20"/>
                <w:color w:val="auto"/>
              </w:rPr>
            </w:pPr>
            <w:r>
              <w:rPr>
                <w:rFonts w:ascii="Arial" w:cs="Arial" w:eastAsia="Arial" w:hAnsi="Arial"/>
                <w:sz w:val="15"/>
                <w:szCs w:val="15"/>
                <w:color w:val="1A475F"/>
              </w:rPr>
              <w:t>resulting from short-term and long-</w:t>
            </w:r>
          </w:p>
        </w:tc>
        <w:tc>
          <w:tcPr>
            <w:tcW w:w="3520" w:type="dxa"/>
            <w:vAlign w:val="bottom"/>
            <w:tcBorders>
              <w:right w:val="single" w:sz="8" w:color="1A475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40" w:type="dxa"/>
            <w:vAlign w:val="bottom"/>
            <w:tcBorders>
              <w:right w:val="single" w:sz="8" w:color="1A475F"/>
            </w:tcBorders>
          </w:tcPr>
          <w:p>
            <w:pPr>
              <w:ind w:left="300"/>
              <w:spacing w:after="0"/>
              <w:rPr>
                <w:sz w:val="20"/>
                <w:szCs w:val="20"/>
                <w:color w:val="auto"/>
              </w:rPr>
            </w:pPr>
            <w:r>
              <w:rPr>
                <w:rFonts w:ascii="Arial" w:cs="Arial" w:eastAsia="Arial" w:hAnsi="Arial"/>
                <w:sz w:val="15"/>
                <w:szCs w:val="15"/>
                <w:color w:val="1A475F"/>
              </w:rPr>
              <w:t>term uncertainties.</w:t>
            </w:r>
          </w:p>
        </w:tc>
        <w:tc>
          <w:tcPr>
            <w:tcW w:w="3520" w:type="dxa"/>
            <w:vAlign w:val="bottom"/>
            <w:tcBorders>
              <w:right w:val="single" w:sz="8" w:color="1A475F"/>
            </w:tcBorders>
          </w:tcPr>
          <w:p>
            <w:pPr>
              <w:spacing w:after="0"/>
              <w:rPr>
                <w:sz w:val="17"/>
                <w:szCs w:val="17"/>
                <w:color w:val="auto"/>
              </w:rPr>
            </w:pPr>
          </w:p>
        </w:tc>
        <w:tc>
          <w:tcPr>
            <w:tcW w:w="0" w:type="dxa"/>
            <w:vAlign w:val="bottom"/>
          </w:tcPr>
          <w:p>
            <w:pPr>
              <w:spacing w:after="0"/>
              <w:rPr>
                <w:sz w:val="1"/>
                <w:szCs w:val="1"/>
                <w:color w:val="auto"/>
              </w:rPr>
            </w:pPr>
          </w:p>
        </w:tc>
      </w:tr>
      <w:tr>
        <w:trPr>
          <w:trHeight w:val="1052"/>
        </w:trPr>
        <w:tc>
          <w:tcPr>
            <w:tcW w:w="2940" w:type="dxa"/>
            <w:vAlign w:val="bottom"/>
            <w:tcBorders>
              <w:right w:val="single" w:sz="8" w:color="1A475F"/>
            </w:tcBorders>
          </w:tcPr>
          <w:p>
            <w:pPr>
              <w:spacing w:after="0"/>
              <w:rPr>
                <w:sz w:val="24"/>
                <w:szCs w:val="24"/>
                <w:color w:val="auto"/>
              </w:rPr>
            </w:pPr>
          </w:p>
        </w:tc>
        <w:tc>
          <w:tcPr>
            <w:tcW w:w="3520" w:type="dxa"/>
            <w:vAlign w:val="bottom"/>
            <w:tcBorders>
              <w:right w:val="single" w:sz="8" w:color="1A475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29210</wp:posOffset>
            </wp:positionV>
            <wp:extent cx="6005195" cy="1925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05195" cy="192595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29210</wp:posOffset>
            </wp:positionV>
            <wp:extent cx="6005195" cy="1925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05195" cy="1925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120"/>
            <w:col w:w="6440"/>
          </w:cols>
          <w:pgMar w:left="320" w:top="433" w:right="1219" w:bottom="1440" w:gutter="0" w:footer="0" w:header="0"/>
          <w:type w:val="continuous"/>
        </w:sectPr>
      </w:pPr>
    </w:p>
    <w:p>
      <w:pPr>
        <w:spacing w:after="0" w:line="101" w:lineRule="exact"/>
        <w:rPr>
          <w:sz w:val="20"/>
          <w:szCs w:val="20"/>
          <w:color w:val="auto"/>
        </w:rPr>
      </w:pPr>
    </w:p>
    <w:tbl>
      <w:tblPr>
        <w:tblLayout w:type="fixed"/>
        <w:tblInd w:w="900" w:type="dxa"/>
        <w:tblCellMar>
          <w:top w:w="0" w:type="dxa"/>
          <w:left w:w="0" w:type="dxa"/>
          <w:bottom w:w="0" w:type="dxa"/>
          <w:right w:w="0" w:type="dxa"/>
        </w:tblCellMar>
      </w:tblPr>
      <w:tr>
        <w:trPr>
          <w:trHeight w:val="58"/>
        </w:trPr>
        <w:tc>
          <w:tcPr>
            <w:tcW w:w="360" w:type="dxa"/>
            <w:vAlign w:val="bottom"/>
            <w:shd w:val="clear" w:color="auto" w:fill="1A475F"/>
          </w:tcPr>
          <w:p>
            <w:pPr>
              <w:spacing w:after="0"/>
              <w:rPr>
                <w:sz w:val="5"/>
                <w:szCs w:val="5"/>
                <w:color w:val="auto"/>
              </w:rPr>
            </w:pPr>
          </w:p>
        </w:tc>
        <w:tc>
          <w:tcPr>
            <w:tcW w:w="2570" w:type="dxa"/>
            <w:vAlign w:val="bottom"/>
            <w:vMerge w:val="restart"/>
            <w:shd w:val="clear" w:color="auto" w:fill="1A475F"/>
          </w:tcPr>
          <w:p>
            <w:pPr>
              <w:ind w:left="320"/>
              <w:spacing w:after="0"/>
              <w:rPr>
                <w:sz w:val="20"/>
                <w:szCs w:val="20"/>
                <w:color w:val="auto"/>
              </w:rPr>
            </w:pPr>
            <w:r>
              <w:rPr>
                <w:rFonts w:ascii="Arial" w:cs="Arial" w:eastAsia="Arial" w:hAnsi="Arial"/>
                <w:sz w:val="15"/>
                <w:szCs w:val="15"/>
                <w:b w:val="1"/>
                <w:bCs w:val="1"/>
                <w:color w:val="FFFFFF"/>
              </w:rPr>
              <w:t>Periodic Reports From:</w:t>
            </w:r>
          </w:p>
        </w:tc>
        <w:tc>
          <w:tcPr>
            <w:tcW w:w="90" w:type="dxa"/>
            <w:vAlign w:val="bottom"/>
            <w:shd w:val="clear" w:color="auto" w:fill="1A475F"/>
          </w:tcPr>
          <w:p>
            <w:pPr>
              <w:spacing w:after="0"/>
              <w:rPr>
                <w:sz w:val="5"/>
                <w:szCs w:val="5"/>
                <w:color w:val="auto"/>
              </w:rPr>
            </w:pPr>
          </w:p>
        </w:tc>
        <w:tc>
          <w:tcPr>
            <w:tcW w:w="220" w:type="dxa"/>
            <w:vAlign w:val="bottom"/>
            <w:shd w:val="clear" w:color="auto" w:fill="1A475F"/>
          </w:tcPr>
          <w:p>
            <w:pPr>
              <w:spacing w:after="0"/>
              <w:rPr>
                <w:sz w:val="5"/>
                <w:szCs w:val="5"/>
                <w:color w:val="auto"/>
              </w:rPr>
            </w:pPr>
          </w:p>
        </w:tc>
        <w:tc>
          <w:tcPr>
            <w:tcW w:w="2780" w:type="dxa"/>
            <w:vAlign w:val="bottom"/>
            <w:vMerge w:val="restart"/>
            <w:shd w:val="clear" w:color="auto" w:fill="1A475F"/>
          </w:tcPr>
          <w:p>
            <w:pPr>
              <w:ind w:left="380"/>
              <w:spacing w:after="0"/>
              <w:rPr>
                <w:sz w:val="20"/>
                <w:szCs w:val="20"/>
                <w:color w:val="auto"/>
              </w:rPr>
            </w:pPr>
            <w:r>
              <w:rPr>
                <w:rFonts w:ascii="Arial" w:cs="Arial" w:eastAsia="Arial" w:hAnsi="Arial"/>
                <w:sz w:val="15"/>
                <w:szCs w:val="15"/>
                <w:b w:val="1"/>
                <w:bCs w:val="1"/>
                <w:color w:val="FFFFFF"/>
              </w:rPr>
              <w:t>Periodic Reports From:</w:t>
            </w:r>
          </w:p>
        </w:tc>
        <w:tc>
          <w:tcPr>
            <w:tcW w:w="3440" w:type="dxa"/>
            <w:vAlign w:val="bottom"/>
            <w:vMerge w:val="restart"/>
            <w:shd w:val="clear" w:color="auto" w:fill="1A475F"/>
          </w:tcPr>
          <w:p>
            <w:pPr>
              <w:ind w:left="860"/>
              <w:spacing w:after="0"/>
              <w:rPr>
                <w:sz w:val="20"/>
                <w:szCs w:val="20"/>
                <w:color w:val="auto"/>
              </w:rPr>
            </w:pPr>
            <w:r>
              <w:rPr>
                <w:rFonts w:ascii="Arial" w:cs="Arial" w:eastAsia="Arial" w:hAnsi="Arial"/>
                <w:sz w:val="15"/>
                <w:szCs w:val="15"/>
                <w:b w:val="1"/>
                <w:bCs w:val="1"/>
                <w:color w:val="FFFFFF"/>
              </w:rPr>
              <w:t>Periodic Reports From:</w:t>
            </w:r>
          </w:p>
        </w:tc>
        <w:tc>
          <w:tcPr>
            <w:tcW w:w="0" w:type="dxa"/>
            <w:vAlign w:val="bottom"/>
          </w:tcPr>
          <w:p>
            <w:pPr>
              <w:spacing w:after="0"/>
              <w:rPr>
                <w:sz w:val="1"/>
                <w:szCs w:val="1"/>
                <w:color w:val="auto"/>
              </w:rPr>
            </w:pPr>
          </w:p>
        </w:tc>
      </w:tr>
      <w:tr>
        <w:trPr>
          <w:trHeight w:val="196"/>
        </w:trPr>
        <w:tc>
          <w:tcPr>
            <w:tcW w:w="360" w:type="dxa"/>
            <w:vAlign w:val="bottom"/>
            <w:tcBorders>
              <w:bottom w:val="single" w:sz="8" w:color="1A475F"/>
            </w:tcBorders>
            <w:shd w:val="clear" w:color="auto" w:fill="1A475F"/>
          </w:tcPr>
          <w:p>
            <w:pPr>
              <w:spacing w:after="0"/>
              <w:rPr>
                <w:sz w:val="17"/>
                <w:szCs w:val="17"/>
                <w:color w:val="auto"/>
              </w:rPr>
            </w:pPr>
          </w:p>
        </w:tc>
        <w:tc>
          <w:tcPr>
            <w:tcW w:w="2570" w:type="dxa"/>
            <w:vAlign w:val="bottom"/>
            <w:tcBorders>
              <w:bottom w:val="single" w:sz="8" w:color="1A475F"/>
            </w:tcBorders>
            <w:vMerge w:val="continue"/>
            <w:shd w:val="clear" w:color="auto" w:fill="1A475F"/>
          </w:tcPr>
          <w:p>
            <w:pPr>
              <w:spacing w:after="0"/>
              <w:rPr>
                <w:sz w:val="17"/>
                <w:szCs w:val="17"/>
                <w:color w:val="auto"/>
              </w:rPr>
            </w:pPr>
          </w:p>
        </w:tc>
        <w:tc>
          <w:tcPr>
            <w:tcW w:w="90" w:type="dxa"/>
            <w:vAlign w:val="bottom"/>
            <w:tcBorders>
              <w:bottom w:val="single" w:sz="8" w:color="1A475F"/>
            </w:tcBorders>
            <w:shd w:val="clear" w:color="auto" w:fill="1A475F"/>
          </w:tcPr>
          <w:p>
            <w:pPr>
              <w:spacing w:after="0"/>
              <w:rPr>
                <w:sz w:val="17"/>
                <w:szCs w:val="17"/>
                <w:color w:val="auto"/>
              </w:rPr>
            </w:pPr>
          </w:p>
        </w:tc>
        <w:tc>
          <w:tcPr>
            <w:tcW w:w="220" w:type="dxa"/>
            <w:vAlign w:val="bottom"/>
            <w:tcBorders>
              <w:bottom w:val="single" w:sz="8" w:color="1A475F"/>
            </w:tcBorders>
            <w:shd w:val="clear" w:color="auto" w:fill="1A475F"/>
          </w:tcPr>
          <w:p>
            <w:pPr>
              <w:spacing w:after="0"/>
              <w:rPr>
                <w:sz w:val="17"/>
                <w:szCs w:val="17"/>
                <w:color w:val="auto"/>
              </w:rPr>
            </w:pPr>
          </w:p>
        </w:tc>
        <w:tc>
          <w:tcPr>
            <w:tcW w:w="2780" w:type="dxa"/>
            <w:vAlign w:val="bottom"/>
            <w:tcBorders>
              <w:bottom w:val="single" w:sz="8" w:color="1A475F"/>
            </w:tcBorders>
            <w:vMerge w:val="continue"/>
            <w:shd w:val="clear" w:color="auto" w:fill="1A475F"/>
          </w:tcPr>
          <w:p>
            <w:pPr>
              <w:spacing w:after="0"/>
              <w:rPr>
                <w:sz w:val="17"/>
                <w:szCs w:val="17"/>
                <w:color w:val="auto"/>
              </w:rPr>
            </w:pPr>
          </w:p>
        </w:tc>
        <w:tc>
          <w:tcPr>
            <w:tcW w:w="3440" w:type="dxa"/>
            <w:vAlign w:val="bottom"/>
            <w:tcBorders>
              <w:bottom w:val="single" w:sz="8" w:color="1A475F"/>
            </w:tcBorders>
            <w:vMerge w:val="continue"/>
            <w:shd w:val="clear" w:color="auto" w:fill="1A475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0" w:type="dxa"/>
            <w:vAlign w:val="bottom"/>
          </w:tcPr>
          <w:p>
            <w:pPr>
              <w:ind w:left="220"/>
              <w:spacing w:after="0"/>
              <w:rPr>
                <w:sz w:val="20"/>
                <w:szCs w:val="20"/>
                <w:color w:val="auto"/>
              </w:rPr>
            </w:pPr>
            <w:r>
              <w:rPr>
                <w:rFonts w:ascii="Arial" w:cs="Arial" w:eastAsia="Arial" w:hAnsi="Arial"/>
                <w:sz w:val="15"/>
                <w:szCs w:val="15"/>
                <w:color w:val="1A475F"/>
              </w:rPr>
              <w:t>•</w:t>
            </w:r>
          </w:p>
        </w:tc>
        <w:tc>
          <w:tcPr>
            <w:tcW w:w="2570" w:type="dxa"/>
            <w:vAlign w:val="bottom"/>
          </w:tcPr>
          <w:p>
            <w:pPr>
              <w:ind w:left="100"/>
              <w:spacing w:after="0"/>
              <w:rPr>
                <w:sz w:val="20"/>
                <w:szCs w:val="20"/>
                <w:color w:val="auto"/>
              </w:rPr>
            </w:pPr>
            <w:r>
              <w:rPr>
                <w:rFonts w:ascii="Arial" w:cs="Arial" w:eastAsia="Arial" w:hAnsi="Arial"/>
                <w:sz w:val="15"/>
                <w:szCs w:val="15"/>
                <w:color w:val="1A475F"/>
              </w:rPr>
              <w:t>CEO</w:t>
            </w:r>
          </w:p>
        </w:tc>
        <w:tc>
          <w:tcPr>
            <w:tcW w:w="90" w:type="dxa"/>
            <w:vAlign w:val="bottom"/>
          </w:tcPr>
          <w:p>
            <w:pPr>
              <w:spacing w:after="0"/>
              <w:rPr>
                <w:sz w:val="16"/>
                <w:szCs w:val="16"/>
                <w:color w:val="auto"/>
              </w:rPr>
            </w:pPr>
          </w:p>
        </w:tc>
        <w:tc>
          <w:tcPr>
            <w:tcW w:w="220" w:type="dxa"/>
            <w:vAlign w:val="bottom"/>
          </w:tcPr>
          <w:p>
            <w:pPr>
              <w:ind w:left="60"/>
              <w:spacing w:after="0"/>
              <w:rPr>
                <w:sz w:val="20"/>
                <w:szCs w:val="20"/>
                <w:color w:val="auto"/>
              </w:rPr>
            </w:pPr>
            <w:r>
              <w:rPr>
                <w:rFonts w:ascii="Arial" w:cs="Arial" w:eastAsia="Arial" w:hAnsi="Arial"/>
                <w:sz w:val="15"/>
                <w:szCs w:val="15"/>
                <w:color w:val="1A475F"/>
              </w:rPr>
              <w:t>•</w:t>
            </w:r>
          </w:p>
        </w:tc>
        <w:tc>
          <w:tcPr>
            <w:tcW w:w="2780" w:type="dxa"/>
            <w:vAlign w:val="bottom"/>
          </w:tcPr>
          <w:p>
            <w:pPr>
              <w:ind w:left="80"/>
              <w:spacing w:after="0"/>
              <w:rPr>
                <w:sz w:val="20"/>
                <w:szCs w:val="20"/>
                <w:color w:val="auto"/>
              </w:rPr>
            </w:pPr>
            <w:r>
              <w:rPr>
                <w:rFonts w:ascii="Arial" w:cs="Arial" w:eastAsia="Arial" w:hAnsi="Arial"/>
                <w:sz w:val="15"/>
                <w:szCs w:val="15"/>
                <w:color w:val="1A475F"/>
              </w:rPr>
              <w:t>CEO</w:t>
            </w:r>
          </w:p>
        </w:tc>
        <w:tc>
          <w:tcPr>
            <w:tcW w:w="3440" w:type="dxa"/>
            <w:vAlign w:val="bottom"/>
          </w:tcPr>
          <w:p>
            <w:pPr>
              <w:ind w:left="120"/>
              <w:spacing w:after="0"/>
              <w:rPr>
                <w:sz w:val="20"/>
                <w:szCs w:val="20"/>
                <w:color w:val="auto"/>
              </w:rPr>
            </w:pPr>
            <w:r>
              <w:rPr>
                <w:rFonts w:ascii="Arial" w:cs="Arial" w:eastAsia="Arial" w:hAnsi="Arial"/>
                <w:sz w:val="15"/>
                <w:szCs w:val="15"/>
                <w:color w:val="1A475F"/>
              </w:rPr>
              <w:t>•  CEO</w:t>
            </w:r>
          </w:p>
        </w:tc>
        <w:tc>
          <w:tcPr>
            <w:tcW w:w="0" w:type="dxa"/>
            <w:vAlign w:val="bottom"/>
          </w:tcPr>
          <w:p>
            <w:pPr>
              <w:spacing w:after="0"/>
              <w:rPr>
                <w:sz w:val="1"/>
                <w:szCs w:val="1"/>
                <w:color w:val="auto"/>
              </w:rPr>
            </w:pPr>
          </w:p>
        </w:tc>
      </w:tr>
      <w:tr>
        <w:trPr>
          <w:trHeight w:val="189"/>
        </w:trPr>
        <w:tc>
          <w:tcPr>
            <w:tcW w:w="360" w:type="dxa"/>
            <w:vAlign w:val="bottom"/>
          </w:tcPr>
          <w:p>
            <w:pPr>
              <w:ind w:left="220"/>
              <w:spacing w:after="0"/>
              <w:rPr>
                <w:sz w:val="20"/>
                <w:szCs w:val="20"/>
                <w:color w:val="auto"/>
              </w:rPr>
            </w:pPr>
            <w:r>
              <w:rPr>
                <w:rFonts w:ascii="Arial" w:cs="Arial" w:eastAsia="Arial" w:hAnsi="Arial"/>
                <w:sz w:val="15"/>
                <w:szCs w:val="15"/>
                <w:color w:val="1A475F"/>
              </w:rPr>
              <w:t>•</w:t>
            </w:r>
          </w:p>
        </w:tc>
        <w:tc>
          <w:tcPr>
            <w:tcW w:w="2570" w:type="dxa"/>
            <w:vAlign w:val="bottom"/>
          </w:tcPr>
          <w:p>
            <w:pPr>
              <w:ind w:left="100"/>
              <w:spacing w:after="0"/>
              <w:rPr>
                <w:sz w:val="20"/>
                <w:szCs w:val="20"/>
                <w:color w:val="auto"/>
              </w:rPr>
            </w:pPr>
            <w:r>
              <w:rPr>
                <w:rFonts w:ascii="Arial" w:cs="Arial" w:eastAsia="Arial" w:hAnsi="Arial"/>
                <w:sz w:val="15"/>
                <w:szCs w:val="15"/>
                <w:color w:val="1A475F"/>
              </w:rPr>
              <w:t>CFO</w:t>
            </w:r>
          </w:p>
        </w:tc>
        <w:tc>
          <w:tcPr>
            <w:tcW w:w="90" w:type="dxa"/>
            <w:vAlign w:val="bottom"/>
          </w:tcPr>
          <w:p>
            <w:pPr>
              <w:spacing w:after="0"/>
              <w:rPr>
                <w:sz w:val="16"/>
                <w:szCs w:val="16"/>
                <w:color w:val="auto"/>
              </w:rPr>
            </w:pPr>
          </w:p>
        </w:tc>
        <w:tc>
          <w:tcPr>
            <w:tcW w:w="220" w:type="dxa"/>
            <w:vAlign w:val="bottom"/>
          </w:tcPr>
          <w:p>
            <w:pPr>
              <w:ind w:left="60"/>
              <w:spacing w:after="0"/>
              <w:rPr>
                <w:sz w:val="20"/>
                <w:szCs w:val="20"/>
                <w:color w:val="auto"/>
              </w:rPr>
            </w:pPr>
            <w:r>
              <w:rPr>
                <w:rFonts w:ascii="Arial" w:cs="Arial" w:eastAsia="Arial" w:hAnsi="Arial"/>
                <w:sz w:val="15"/>
                <w:szCs w:val="15"/>
                <w:color w:val="1A475F"/>
              </w:rPr>
              <w:t>•</w:t>
            </w:r>
          </w:p>
        </w:tc>
        <w:tc>
          <w:tcPr>
            <w:tcW w:w="2780" w:type="dxa"/>
            <w:vAlign w:val="bottom"/>
          </w:tcPr>
          <w:p>
            <w:pPr>
              <w:ind w:left="80"/>
              <w:spacing w:after="0"/>
              <w:rPr>
                <w:sz w:val="20"/>
                <w:szCs w:val="20"/>
                <w:color w:val="auto"/>
              </w:rPr>
            </w:pPr>
            <w:r>
              <w:rPr>
                <w:rFonts w:ascii="Arial" w:cs="Arial" w:eastAsia="Arial" w:hAnsi="Arial"/>
                <w:sz w:val="15"/>
                <w:szCs w:val="15"/>
                <w:color w:val="1A475F"/>
              </w:rPr>
              <w:t>CFO</w:t>
            </w:r>
          </w:p>
        </w:tc>
        <w:tc>
          <w:tcPr>
            <w:tcW w:w="3440" w:type="dxa"/>
            <w:vAlign w:val="bottom"/>
          </w:tcPr>
          <w:p>
            <w:pPr>
              <w:ind w:left="120"/>
              <w:spacing w:after="0"/>
              <w:rPr>
                <w:sz w:val="20"/>
                <w:szCs w:val="20"/>
                <w:color w:val="auto"/>
              </w:rPr>
            </w:pPr>
            <w:r>
              <w:rPr>
                <w:rFonts w:ascii="Arial" w:cs="Arial" w:eastAsia="Arial" w:hAnsi="Arial"/>
                <w:sz w:val="15"/>
                <w:szCs w:val="15"/>
                <w:color w:val="1A475F"/>
              </w:rPr>
              <w:t>•  General Counsel (including Corporate</w:t>
            </w:r>
          </w:p>
        </w:tc>
        <w:tc>
          <w:tcPr>
            <w:tcW w:w="0" w:type="dxa"/>
            <w:vAlign w:val="bottom"/>
          </w:tcPr>
          <w:p>
            <w:pPr>
              <w:spacing w:after="0"/>
              <w:rPr>
                <w:sz w:val="1"/>
                <w:szCs w:val="1"/>
                <w:color w:val="auto"/>
              </w:rPr>
            </w:pPr>
          </w:p>
        </w:tc>
      </w:tr>
      <w:tr>
        <w:trPr>
          <w:trHeight w:val="232"/>
        </w:trPr>
        <w:tc>
          <w:tcPr>
            <w:tcW w:w="360" w:type="dxa"/>
            <w:vAlign w:val="bottom"/>
          </w:tcPr>
          <w:p>
            <w:pPr>
              <w:ind w:left="220"/>
              <w:spacing w:after="0"/>
              <w:rPr>
                <w:sz w:val="20"/>
                <w:szCs w:val="20"/>
                <w:color w:val="auto"/>
              </w:rPr>
            </w:pPr>
            <w:r>
              <w:rPr>
                <w:rFonts w:ascii="Arial" w:cs="Arial" w:eastAsia="Arial" w:hAnsi="Arial"/>
                <w:sz w:val="15"/>
                <w:szCs w:val="15"/>
                <w:color w:val="1A475F"/>
              </w:rPr>
              <w:t>•</w:t>
            </w:r>
          </w:p>
        </w:tc>
        <w:tc>
          <w:tcPr>
            <w:tcW w:w="2570" w:type="dxa"/>
            <w:vAlign w:val="bottom"/>
          </w:tcPr>
          <w:p>
            <w:pPr>
              <w:ind w:left="100"/>
              <w:spacing w:after="0"/>
              <w:rPr>
                <w:sz w:val="20"/>
                <w:szCs w:val="20"/>
                <w:color w:val="auto"/>
              </w:rPr>
            </w:pPr>
            <w:r>
              <w:rPr>
                <w:rFonts w:ascii="Arial" w:cs="Arial" w:eastAsia="Arial" w:hAnsi="Arial"/>
                <w:sz w:val="15"/>
                <w:szCs w:val="15"/>
                <w:color w:val="1A475F"/>
              </w:rPr>
              <w:t>Chief Accounting Officer</w:t>
            </w:r>
          </w:p>
        </w:tc>
        <w:tc>
          <w:tcPr>
            <w:tcW w:w="90" w:type="dxa"/>
            <w:vAlign w:val="bottom"/>
          </w:tcPr>
          <w:p>
            <w:pPr>
              <w:spacing w:after="0"/>
              <w:rPr>
                <w:sz w:val="20"/>
                <w:szCs w:val="20"/>
                <w:color w:val="auto"/>
              </w:rPr>
            </w:pPr>
          </w:p>
        </w:tc>
        <w:tc>
          <w:tcPr>
            <w:tcW w:w="220" w:type="dxa"/>
            <w:vAlign w:val="bottom"/>
          </w:tcPr>
          <w:p>
            <w:pPr>
              <w:ind w:left="60"/>
              <w:spacing w:after="0"/>
              <w:rPr>
                <w:sz w:val="20"/>
                <w:szCs w:val="20"/>
                <w:color w:val="auto"/>
              </w:rPr>
            </w:pPr>
            <w:r>
              <w:rPr>
                <w:rFonts w:ascii="Arial" w:cs="Arial" w:eastAsia="Arial" w:hAnsi="Arial"/>
                <w:sz w:val="15"/>
                <w:szCs w:val="15"/>
                <w:color w:val="1A475F"/>
              </w:rPr>
              <w:t>•</w:t>
            </w:r>
          </w:p>
        </w:tc>
        <w:tc>
          <w:tcPr>
            <w:tcW w:w="2780" w:type="dxa"/>
            <w:vAlign w:val="bottom"/>
          </w:tcPr>
          <w:p>
            <w:pPr>
              <w:ind w:left="80"/>
              <w:spacing w:after="0"/>
              <w:rPr>
                <w:sz w:val="20"/>
                <w:szCs w:val="20"/>
                <w:color w:val="auto"/>
              </w:rPr>
            </w:pPr>
            <w:r>
              <w:rPr>
                <w:rFonts w:ascii="Arial" w:cs="Arial" w:eastAsia="Arial" w:hAnsi="Arial"/>
                <w:sz w:val="15"/>
                <w:szCs w:val="15"/>
                <w:color w:val="1A475F"/>
              </w:rPr>
              <w:t>General Counsel (including Corporate</w:t>
            </w:r>
          </w:p>
        </w:tc>
        <w:tc>
          <w:tcPr>
            <w:tcW w:w="3440" w:type="dxa"/>
            <w:vAlign w:val="bottom"/>
          </w:tcPr>
          <w:p>
            <w:pPr>
              <w:ind w:left="360"/>
              <w:spacing w:after="0"/>
              <w:rPr>
                <w:sz w:val="20"/>
                <w:szCs w:val="20"/>
                <w:color w:val="auto"/>
              </w:rPr>
            </w:pPr>
            <w:r>
              <w:rPr>
                <w:rFonts w:ascii="Arial" w:cs="Arial" w:eastAsia="Arial" w:hAnsi="Arial"/>
                <w:sz w:val="15"/>
                <w:szCs w:val="15"/>
                <w:color w:val="1A475F"/>
              </w:rPr>
              <w:t>Governance)</w:t>
            </w:r>
          </w:p>
        </w:tc>
        <w:tc>
          <w:tcPr>
            <w:tcW w:w="0" w:type="dxa"/>
            <w:vAlign w:val="bottom"/>
          </w:tcPr>
          <w:p>
            <w:pPr>
              <w:spacing w:after="0"/>
              <w:rPr>
                <w:sz w:val="1"/>
                <w:szCs w:val="1"/>
                <w:color w:val="auto"/>
              </w:rPr>
            </w:pPr>
          </w:p>
        </w:tc>
      </w:tr>
      <w:tr>
        <w:trPr>
          <w:trHeight w:val="202"/>
        </w:trPr>
        <w:tc>
          <w:tcPr>
            <w:tcW w:w="360" w:type="dxa"/>
            <w:vAlign w:val="bottom"/>
            <w:vMerge w:val="restart"/>
          </w:tcPr>
          <w:p>
            <w:pPr>
              <w:ind w:left="220"/>
              <w:spacing w:after="0"/>
              <w:rPr>
                <w:sz w:val="20"/>
                <w:szCs w:val="20"/>
                <w:color w:val="auto"/>
              </w:rPr>
            </w:pPr>
            <w:r>
              <w:rPr>
                <w:rFonts w:ascii="Arial" w:cs="Arial" w:eastAsia="Arial" w:hAnsi="Arial"/>
                <w:sz w:val="15"/>
                <w:szCs w:val="15"/>
                <w:color w:val="1A475F"/>
              </w:rPr>
              <w:t>•</w:t>
            </w:r>
          </w:p>
        </w:tc>
        <w:tc>
          <w:tcPr>
            <w:tcW w:w="2570" w:type="dxa"/>
            <w:vAlign w:val="bottom"/>
            <w:vMerge w:val="restart"/>
          </w:tcPr>
          <w:p>
            <w:pPr>
              <w:ind w:left="100"/>
              <w:spacing w:after="0"/>
              <w:rPr>
                <w:sz w:val="20"/>
                <w:szCs w:val="20"/>
                <w:color w:val="auto"/>
              </w:rPr>
            </w:pPr>
            <w:r>
              <w:rPr>
                <w:rFonts w:ascii="Arial" w:cs="Arial" w:eastAsia="Arial" w:hAnsi="Arial"/>
                <w:sz w:val="15"/>
                <w:szCs w:val="15"/>
                <w:color w:val="1A475F"/>
              </w:rPr>
              <w:t>Tax &amp; Treasury</w:t>
            </w:r>
          </w:p>
        </w:tc>
        <w:tc>
          <w:tcPr>
            <w:tcW w:w="9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5"/>
                <w:szCs w:val="15"/>
                <w:color w:val="1A475F"/>
              </w:rPr>
              <w:t>Governance)</w:t>
            </w:r>
          </w:p>
        </w:tc>
        <w:tc>
          <w:tcPr>
            <w:tcW w:w="3440" w:type="dxa"/>
            <w:vAlign w:val="bottom"/>
          </w:tcPr>
          <w:p>
            <w:pPr>
              <w:ind w:left="120"/>
              <w:spacing w:after="0"/>
              <w:rPr>
                <w:sz w:val="20"/>
                <w:szCs w:val="20"/>
                <w:color w:val="auto"/>
              </w:rPr>
            </w:pPr>
            <w:r>
              <w:rPr>
                <w:rFonts w:ascii="Arial" w:cs="Arial" w:eastAsia="Arial" w:hAnsi="Arial"/>
                <w:sz w:val="15"/>
                <w:szCs w:val="15"/>
                <w:color w:val="1A475F"/>
              </w:rPr>
              <w:t>•  Compliance &amp; Ethics Function</w:t>
            </w:r>
          </w:p>
        </w:tc>
        <w:tc>
          <w:tcPr>
            <w:tcW w:w="0" w:type="dxa"/>
            <w:vAlign w:val="bottom"/>
          </w:tcPr>
          <w:p>
            <w:pPr>
              <w:spacing w:after="0"/>
              <w:rPr>
                <w:sz w:val="1"/>
                <w:szCs w:val="1"/>
                <w:color w:val="auto"/>
              </w:rPr>
            </w:pPr>
          </w:p>
        </w:tc>
      </w:tr>
      <w:tr>
        <w:trPr>
          <w:trHeight w:val="58"/>
        </w:trPr>
        <w:tc>
          <w:tcPr>
            <w:tcW w:w="360" w:type="dxa"/>
            <w:vAlign w:val="bottom"/>
            <w:vMerge w:val="continue"/>
          </w:tcPr>
          <w:p>
            <w:pPr>
              <w:spacing w:after="0"/>
              <w:rPr>
                <w:sz w:val="5"/>
                <w:szCs w:val="5"/>
                <w:color w:val="auto"/>
              </w:rPr>
            </w:pPr>
          </w:p>
        </w:tc>
        <w:tc>
          <w:tcPr>
            <w:tcW w:w="2570" w:type="dxa"/>
            <w:vAlign w:val="bottom"/>
            <w:vMerge w:val="continue"/>
          </w:tcPr>
          <w:p>
            <w:pPr>
              <w:spacing w:after="0"/>
              <w:rPr>
                <w:sz w:val="5"/>
                <w:szCs w:val="5"/>
                <w:color w:val="auto"/>
              </w:rPr>
            </w:pPr>
          </w:p>
        </w:tc>
        <w:tc>
          <w:tcPr>
            <w:tcW w:w="90" w:type="dxa"/>
            <w:vAlign w:val="bottom"/>
          </w:tcPr>
          <w:p>
            <w:pPr>
              <w:spacing w:after="0"/>
              <w:rPr>
                <w:sz w:val="5"/>
                <w:szCs w:val="5"/>
                <w:color w:val="auto"/>
              </w:rPr>
            </w:pPr>
          </w:p>
        </w:tc>
        <w:tc>
          <w:tcPr>
            <w:tcW w:w="220" w:type="dxa"/>
            <w:vAlign w:val="bottom"/>
            <w:vMerge w:val="restart"/>
          </w:tcPr>
          <w:p>
            <w:pPr>
              <w:ind w:left="60"/>
              <w:spacing w:after="0"/>
              <w:rPr>
                <w:sz w:val="20"/>
                <w:szCs w:val="20"/>
                <w:color w:val="auto"/>
              </w:rPr>
            </w:pPr>
            <w:r>
              <w:rPr>
                <w:rFonts w:ascii="Arial" w:cs="Arial" w:eastAsia="Arial" w:hAnsi="Arial"/>
                <w:sz w:val="15"/>
                <w:szCs w:val="15"/>
                <w:color w:val="1A475F"/>
              </w:rPr>
              <w:t>•</w:t>
            </w:r>
          </w:p>
        </w:tc>
        <w:tc>
          <w:tcPr>
            <w:tcW w:w="2780" w:type="dxa"/>
            <w:vAlign w:val="bottom"/>
            <w:vMerge w:val="restart"/>
          </w:tcPr>
          <w:p>
            <w:pPr>
              <w:ind w:left="80"/>
              <w:spacing w:after="0"/>
              <w:rPr>
                <w:sz w:val="20"/>
                <w:szCs w:val="20"/>
                <w:color w:val="auto"/>
              </w:rPr>
            </w:pPr>
            <w:r>
              <w:rPr>
                <w:rFonts w:ascii="Arial" w:cs="Arial" w:eastAsia="Arial" w:hAnsi="Arial"/>
                <w:sz w:val="15"/>
                <w:szCs w:val="15"/>
                <w:color w:val="1A475F"/>
              </w:rPr>
              <w:t>Human Resources</w:t>
            </w:r>
          </w:p>
        </w:tc>
        <w:tc>
          <w:tcPr>
            <w:tcW w:w="3440" w:type="dxa"/>
            <w:vAlign w:val="bottom"/>
            <w:vMerge w:val="restart"/>
          </w:tcPr>
          <w:p>
            <w:pPr>
              <w:ind w:left="120"/>
              <w:spacing w:after="0"/>
              <w:rPr>
                <w:sz w:val="20"/>
                <w:szCs w:val="20"/>
                <w:color w:val="auto"/>
              </w:rPr>
            </w:pPr>
            <w:r>
              <w:rPr>
                <w:rFonts w:ascii="Arial" w:cs="Arial" w:eastAsia="Arial" w:hAnsi="Arial"/>
                <w:sz w:val="15"/>
                <w:szCs w:val="15"/>
                <w:color w:val="1A475F"/>
              </w:rPr>
              <w:t>•  ESG Task Force &amp; Working Group</w:t>
            </w:r>
          </w:p>
        </w:tc>
        <w:tc>
          <w:tcPr>
            <w:tcW w:w="0" w:type="dxa"/>
            <w:vAlign w:val="bottom"/>
          </w:tcPr>
          <w:p>
            <w:pPr>
              <w:spacing w:after="0"/>
              <w:rPr>
                <w:sz w:val="1"/>
                <w:szCs w:val="1"/>
                <w:color w:val="auto"/>
              </w:rPr>
            </w:pPr>
          </w:p>
        </w:tc>
      </w:tr>
      <w:tr>
        <w:trPr>
          <w:trHeight w:val="174"/>
        </w:trPr>
        <w:tc>
          <w:tcPr>
            <w:tcW w:w="360" w:type="dxa"/>
            <w:vAlign w:val="bottom"/>
            <w:vMerge w:val="restart"/>
          </w:tcPr>
          <w:p>
            <w:pPr>
              <w:ind w:left="220"/>
              <w:spacing w:after="0"/>
              <w:rPr>
                <w:sz w:val="20"/>
                <w:szCs w:val="20"/>
                <w:color w:val="auto"/>
              </w:rPr>
            </w:pPr>
            <w:r>
              <w:rPr>
                <w:rFonts w:ascii="Arial" w:cs="Arial" w:eastAsia="Arial" w:hAnsi="Arial"/>
                <w:sz w:val="15"/>
                <w:szCs w:val="15"/>
                <w:color w:val="1A475F"/>
              </w:rPr>
              <w:t>•</w:t>
            </w:r>
          </w:p>
        </w:tc>
        <w:tc>
          <w:tcPr>
            <w:tcW w:w="2570" w:type="dxa"/>
            <w:vAlign w:val="bottom"/>
            <w:vMerge w:val="restart"/>
          </w:tcPr>
          <w:p>
            <w:pPr>
              <w:ind w:left="100"/>
              <w:spacing w:after="0"/>
              <w:rPr>
                <w:sz w:val="20"/>
                <w:szCs w:val="20"/>
                <w:color w:val="auto"/>
              </w:rPr>
            </w:pPr>
            <w:r>
              <w:rPr>
                <w:rFonts w:ascii="Arial" w:cs="Arial" w:eastAsia="Arial" w:hAnsi="Arial"/>
                <w:sz w:val="15"/>
                <w:szCs w:val="15"/>
                <w:color w:val="1A475F"/>
              </w:rPr>
              <w:t>Controller</w:t>
            </w:r>
          </w:p>
        </w:tc>
        <w:tc>
          <w:tcPr>
            <w:tcW w:w="9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360" w:type="dxa"/>
            <w:vAlign w:val="bottom"/>
            <w:vMerge w:val="continue"/>
          </w:tcPr>
          <w:p>
            <w:pPr>
              <w:spacing w:after="0"/>
              <w:rPr>
                <w:sz w:val="5"/>
                <w:szCs w:val="5"/>
                <w:color w:val="auto"/>
              </w:rPr>
            </w:pPr>
          </w:p>
        </w:tc>
        <w:tc>
          <w:tcPr>
            <w:tcW w:w="2570" w:type="dxa"/>
            <w:vAlign w:val="bottom"/>
            <w:vMerge w:val="continue"/>
          </w:tcPr>
          <w:p>
            <w:pPr>
              <w:spacing w:after="0"/>
              <w:rPr>
                <w:sz w:val="5"/>
                <w:szCs w:val="5"/>
                <w:color w:val="auto"/>
              </w:rPr>
            </w:pPr>
          </w:p>
        </w:tc>
        <w:tc>
          <w:tcPr>
            <w:tcW w:w="90" w:type="dxa"/>
            <w:vAlign w:val="bottom"/>
          </w:tcPr>
          <w:p>
            <w:pPr>
              <w:spacing w:after="0"/>
              <w:rPr>
                <w:sz w:val="5"/>
                <w:szCs w:val="5"/>
                <w:color w:val="auto"/>
              </w:rPr>
            </w:pPr>
          </w:p>
        </w:tc>
        <w:tc>
          <w:tcPr>
            <w:tcW w:w="220" w:type="dxa"/>
            <w:vAlign w:val="bottom"/>
            <w:vMerge w:val="restart"/>
          </w:tcPr>
          <w:p>
            <w:pPr>
              <w:ind w:left="60"/>
              <w:spacing w:after="0"/>
              <w:rPr>
                <w:sz w:val="20"/>
                <w:szCs w:val="20"/>
                <w:color w:val="auto"/>
              </w:rPr>
            </w:pPr>
            <w:r>
              <w:rPr>
                <w:rFonts w:ascii="Arial" w:cs="Arial" w:eastAsia="Arial" w:hAnsi="Arial"/>
                <w:sz w:val="15"/>
                <w:szCs w:val="15"/>
                <w:color w:val="1A475F"/>
              </w:rPr>
              <w:t>•</w:t>
            </w:r>
          </w:p>
        </w:tc>
        <w:tc>
          <w:tcPr>
            <w:tcW w:w="2780" w:type="dxa"/>
            <w:vAlign w:val="bottom"/>
            <w:vMerge w:val="restart"/>
          </w:tcPr>
          <w:p>
            <w:pPr>
              <w:ind w:left="80"/>
              <w:spacing w:after="0"/>
              <w:rPr>
                <w:sz w:val="20"/>
                <w:szCs w:val="20"/>
                <w:color w:val="auto"/>
              </w:rPr>
            </w:pPr>
            <w:r>
              <w:rPr>
                <w:rFonts w:ascii="Arial" w:cs="Arial" w:eastAsia="Arial" w:hAnsi="Arial"/>
                <w:sz w:val="15"/>
                <w:szCs w:val="15"/>
                <w:color w:val="1A475F"/>
              </w:rPr>
              <w:t>External Compensation Consultant</w:t>
            </w:r>
          </w:p>
        </w:tc>
        <w:tc>
          <w:tcPr>
            <w:tcW w:w="3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60" w:type="dxa"/>
            <w:vAlign w:val="bottom"/>
            <w:vMerge w:val="restart"/>
          </w:tcPr>
          <w:p>
            <w:pPr>
              <w:ind w:left="220"/>
              <w:spacing w:after="0"/>
              <w:rPr>
                <w:sz w:val="20"/>
                <w:szCs w:val="20"/>
                <w:color w:val="auto"/>
              </w:rPr>
            </w:pPr>
            <w:r>
              <w:rPr>
                <w:rFonts w:ascii="Arial" w:cs="Arial" w:eastAsia="Arial" w:hAnsi="Arial"/>
                <w:sz w:val="15"/>
                <w:szCs w:val="15"/>
                <w:color w:val="1A475F"/>
              </w:rPr>
              <w:t>•</w:t>
            </w:r>
          </w:p>
        </w:tc>
        <w:tc>
          <w:tcPr>
            <w:tcW w:w="2570" w:type="dxa"/>
            <w:vAlign w:val="bottom"/>
            <w:vMerge w:val="restart"/>
          </w:tcPr>
          <w:p>
            <w:pPr>
              <w:ind w:left="100"/>
              <w:spacing w:after="0"/>
              <w:rPr>
                <w:sz w:val="20"/>
                <w:szCs w:val="20"/>
                <w:color w:val="auto"/>
              </w:rPr>
            </w:pPr>
            <w:r>
              <w:rPr>
                <w:rFonts w:ascii="Arial" w:cs="Arial" w:eastAsia="Arial" w:hAnsi="Arial"/>
                <w:sz w:val="15"/>
                <w:szCs w:val="15"/>
                <w:color w:val="1A475F"/>
              </w:rPr>
              <w:t>Internal Audit</w:t>
            </w:r>
          </w:p>
        </w:tc>
        <w:tc>
          <w:tcPr>
            <w:tcW w:w="9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360" w:type="dxa"/>
            <w:vAlign w:val="bottom"/>
            <w:vMerge w:val="continue"/>
          </w:tcPr>
          <w:p>
            <w:pPr>
              <w:spacing w:after="0"/>
              <w:rPr>
                <w:sz w:val="5"/>
                <w:szCs w:val="5"/>
                <w:color w:val="auto"/>
              </w:rPr>
            </w:pPr>
          </w:p>
        </w:tc>
        <w:tc>
          <w:tcPr>
            <w:tcW w:w="2570" w:type="dxa"/>
            <w:vAlign w:val="bottom"/>
            <w:vMerge w:val="continue"/>
          </w:tcPr>
          <w:p>
            <w:pPr>
              <w:spacing w:after="0"/>
              <w:rPr>
                <w:sz w:val="5"/>
                <w:szCs w:val="5"/>
                <w:color w:val="auto"/>
              </w:rPr>
            </w:pPr>
          </w:p>
        </w:tc>
        <w:tc>
          <w:tcPr>
            <w:tcW w:w="90" w:type="dxa"/>
            <w:vAlign w:val="bottom"/>
          </w:tcPr>
          <w:p>
            <w:pPr>
              <w:spacing w:after="0"/>
              <w:rPr>
                <w:sz w:val="5"/>
                <w:szCs w:val="5"/>
                <w:color w:val="auto"/>
              </w:rPr>
            </w:pPr>
          </w:p>
        </w:tc>
        <w:tc>
          <w:tcPr>
            <w:tcW w:w="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3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360" w:right="7140" w:hanging="247"/>
        <w:spacing w:after="0" w:line="281" w:lineRule="auto"/>
        <w:tabs>
          <w:tab w:leader="none" w:pos="1360" w:val="left"/>
        </w:tabs>
        <w:numPr>
          <w:ilvl w:val="0"/>
          <w:numId w:val="24"/>
        </w:numPr>
        <w:rPr>
          <w:rFonts w:ascii="Arial" w:cs="Arial" w:eastAsia="Arial" w:hAnsi="Arial"/>
          <w:sz w:val="15"/>
          <w:szCs w:val="15"/>
          <w:color w:val="1A475F"/>
        </w:rPr>
      </w:pPr>
      <w:r>
        <w:rPr>
          <w:rFonts w:ascii="Arial" w:cs="Arial" w:eastAsia="Arial" w:hAnsi="Arial"/>
          <w:sz w:val="15"/>
          <w:szCs w:val="15"/>
          <w:color w:val="1A475F"/>
        </w:rPr>
        <w:t>General Counsel (including Corporate Governance)</w:t>
      </w:r>
    </w:p>
    <w:p>
      <w:pPr>
        <w:spacing w:after="0" w:line="1" w:lineRule="exact"/>
        <w:rPr>
          <w:rFonts w:ascii="Arial" w:cs="Arial" w:eastAsia="Arial" w:hAnsi="Arial"/>
          <w:sz w:val="15"/>
          <w:szCs w:val="15"/>
          <w:color w:val="1A475F"/>
        </w:rPr>
      </w:pPr>
    </w:p>
    <w:p>
      <w:pPr>
        <w:ind w:left="1360" w:hanging="247"/>
        <w:spacing w:after="0"/>
        <w:tabs>
          <w:tab w:leader="none" w:pos="1360" w:val="left"/>
        </w:tabs>
        <w:numPr>
          <w:ilvl w:val="0"/>
          <w:numId w:val="24"/>
        </w:numPr>
        <w:rPr>
          <w:rFonts w:ascii="Arial" w:cs="Arial" w:eastAsia="Arial" w:hAnsi="Arial"/>
          <w:sz w:val="15"/>
          <w:szCs w:val="15"/>
          <w:color w:val="1A475F"/>
        </w:rPr>
      </w:pPr>
      <w:r>
        <w:rPr>
          <w:rFonts w:ascii="Arial" w:cs="Arial" w:eastAsia="Arial" w:hAnsi="Arial"/>
          <w:sz w:val="15"/>
          <w:szCs w:val="15"/>
          <w:color w:val="1A475F"/>
        </w:rPr>
        <w:t>Compliance &amp; Ethics</w:t>
      </w:r>
    </w:p>
    <w:p>
      <w:pPr>
        <w:spacing w:after="0" w:line="59" w:lineRule="exact"/>
        <w:rPr>
          <w:rFonts w:ascii="Arial" w:cs="Arial" w:eastAsia="Arial" w:hAnsi="Arial"/>
          <w:sz w:val="15"/>
          <w:szCs w:val="15"/>
          <w:color w:val="1A475F"/>
        </w:rPr>
      </w:pPr>
    </w:p>
    <w:p>
      <w:pPr>
        <w:ind w:left="1360" w:hanging="247"/>
        <w:spacing w:after="0"/>
        <w:tabs>
          <w:tab w:leader="none" w:pos="1360" w:val="left"/>
        </w:tabs>
        <w:numPr>
          <w:ilvl w:val="0"/>
          <w:numId w:val="24"/>
        </w:numPr>
        <w:rPr>
          <w:rFonts w:ascii="Arial" w:cs="Arial" w:eastAsia="Arial" w:hAnsi="Arial"/>
          <w:sz w:val="15"/>
          <w:szCs w:val="15"/>
          <w:color w:val="1A475F"/>
        </w:rPr>
      </w:pPr>
      <w:r>
        <w:rPr>
          <w:rFonts w:ascii="Arial" w:cs="Arial" w:eastAsia="Arial" w:hAnsi="Arial"/>
          <w:sz w:val="15"/>
          <w:szCs w:val="15"/>
          <w:color w:val="1A475F"/>
        </w:rPr>
        <w:t>IT, Privacy &amp; Information Security</w:t>
      </w:r>
    </w:p>
    <w:p>
      <w:pPr>
        <w:spacing w:after="0" w:line="59" w:lineRule="exact"/>
        <w:rPr>
          <w:rFonts w:ascii="Arial" w:cs="Arial" w:eastAsia="Arial" w:hAnsi="Arial"/>
          <w:sz w:val="15"/>
          <w:szCs w:val="15"/>
          <w:color w:val="1A475F"/>
        </w:rPr>
      </w:pPr>
    </w:p>
    <w:p>
      <w:pPr>
        <w:ind w:left="1360" w:hanging="247"/>
        <w:spacing w:after="0"/>
        <w:tabs>
          <w:tab w:leader="none" w:pos="1360" w:val="left"/>
        </w:tabs>
        <w:numPr>
          <w:ilvl w:val="0"/>
          <w:numId w:val="24"/>
        </w:numPr>
        <w:rPr>
          <w:rFonts w:ascii="Arial" w:cs="Arial" w:eastAsia="Arial" w:hAnsi="Arial"/>
          <w:sz w:val="15"/>
          <w:szCs w:val="15"/>
          <w:color w:val="1A475F"/>
        </w:rPr>
      </w:pPr>
      <w:r>
        <w:rPr>
          <w:rFonts w:ascii="Arial" w:cs="Arial" w:eastAsia="Arial" w:hAnsi="Arial"/>
          <w:sz w:val="15"/>
          <w:szCs w:val="15"/>
          <w:color w:val="1A475F"/>
        </w:rPr>
        <w:t>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90805</wp:posOffset>
            </wp:positionV>
            <wp:extent cx="6005195" cy="13379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05195" cy="13379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FFFFFF"/>
        </w:rPr>
        <w:t>Risk Management Support Functions Include:</w:t>
      </w:r>
    </w:p>
    <w:p>
      <w:pPr>
        <w:spacing w:after="0" w:line="39" w:lineRule="exact"/>
        <w:rPr>
          <w:sz w:val="20"/>
          <w:szCs w:val="20"/>
          <w:color w:val="auto"/>
        </w:rPr>
      </w:pPr>
    </w:p>
    <w:tbl>
      <w:tblPr>
        <w:tblLayout w:type="fixed"/>
        <w:tblInd w:w="900" w:type="dxa"/>
        <w:tblCellMar>
          <w:top w:w="0" w:type="dxa"/>
          <w:left w:w="0" w:type="dxa"/>
          <w:bottom w:w="0" w:type="dxa"/>
          <w:right w:w="0" w:type="dxa"/>
        </w:tblCellMar>
      </w:tblPr>
      <w:tr>
        <w:trPr>
          <w:trHeight w:val="202"/>
        </w:trPr>
        <w:tc>
          <w:tcPr>
            <w:tcW w:w="2880" w:type="dxa"/>
            <w:vAlign w:val="bottom"/>
            <w:tcBorders>
              <w:top w:val="single" w:sz="8" w:color="1A475F"/>
            </w:tcBorders>
            <w:gridSpan w:val="2"/>
          </w:tcPr>
          <w:p>
            <w:pPr>
              <w:ind w:left="220"/>
              <w:spacing w:after="0"/>
              <w:rPr>
                <w:sz w:val="20"/>
                <w:szCs w:val="20"/>
                <w:color w:val="auto"/>
              </w:rPr>
            </w:pPr>
            <w:r>
              <w:rPr>
                <w:rFonts w:ascii="Arial" w:cs="Arial" w:eastAsia="Arial" w:hAnsi="Arial"/>
                <w:sz w:val="15"/>
                <w:szCs w:val="15"/>
                <w:color w:val="1A475F"/>
              </w:rPr>
              <w:t>•  ERM Program &amp; Framework</w:t>
            </w:r>
          </w:p>
        </w:tc>
        <w:tc>
          <w:tcPr>
            <w:tcW w:w="360" w:type="dxa"/>
            <w:vAlign w:val="bottom"/>
            <w:tcBorders>
              <w:top w:val="single" w:sz="8" w:color="1A475F"/>
            </w:tcBorders>
          </w:tcPr>
          <w:p>
            <w:pPr>
              <w:ind w:left="200"/>
              <w:spacing w:after="0"/>
              <w:rPr>
                <w:sz w:val="20"/>
                <w:szCs w:val="20"/>
                <w:color w:val="auto"/>
              </w:rPr>
            </w:pPr>
            <w:r>
              <w:rPr>
                <w:rFonts w:ascii="Arial" w:cs="Arial" w:eastAsia="Arial" w:hAnsi="Arial"/>
                <w:sz w:val="15"/>
                <w:szCs w:val="15"/>
                <w:color w:val="1A475F"/>
              </w:rPr>
              <w:t>•</w:t>
            </w:r>
          </w:p>
        </w:tc>
        <w:tc>
          <w:tcPr>
            <w:tcW w:w="2620" w:type="dxa"/>
            <w:vAlign w:val="bottom"/>
            <w:tcBorders>
              <w:top w:val="single" w:sz="8" w:color="1A475F"/>
            </w:tcBorders>
          </w:tcPr>
          <w:p>
            <w:pPr>
              <w:ind w:left="80"/>
              <w:spacing w:after="0"/>
              <w:rPr>
                <w:sz w:val="20"/>
                <w:szCs w:val="20"/>
                <w:color w:val="auto"/>
              </w:rPr>
            </w:pPr>
            <w:r>
              <w:rPr>
                <w:rFonts w:ascii="Arial" w:cs="Arial" w:eastAsia="Arial" w:hAnsi="Arial"/>
                <w:sz w:val="15"/>
                <w:szCs w:val="15"/>
                <w:color w:val="1A475F"/>
              </w:rPr>
              <w:t>Operations Team</w:t>
            </w:r>
          </w:p>
        </w:tc>
        <w:tc>
          <w:tcPr>
            <w:tcW w:w="3600" w:type="dxa"/>
            <w:vAlign w:val="bottom"/>
            <w:tcBorders>
              <w:top w:val="single" w:sz="8" w:color="1A475F"/>
            </w:tcBorders>
            <w:gridSpan w:val="2"/>
          </w:tcPr>
          <w:p>
            <w:pPr>
              <w:ind w:left="280"/>
              <w:spacing w:after="0"/>
              <w:rPr>
                <w:sz w:val="20"/>
                <w:szCs w:val="20"/>
                <w:color w:val="auto"/>
              </w:rPr>
            </w:pPr>
            <w:r>
              <w:rPr>
                <w:rFonts w:ascii="Arial" w:cs="Arial" w:eastAsia="Arial" w:hAnsi="Arial"/>
                <w:sz w:val="15"/>
                <w:szCs w:val="15"/>
                <w:color w:val="1A475F"/>
              </w:rPr>
              <w:t>•  ESG Task Force &amp; Working Group</w:t>
            </w:r>
          </w:p>
        </w:tc>
        <w:tc>
          <w:tcPr>
            <w:tcW w:w="0" w:type="dxa"/>
            <w:vAlign w:val="bottom"/>
          </w:tcPr>
          <w:p>
            <w:pPr>
              <w:spacing w:after="0"/>
              <w:rPr>
                <w:sz w:val="1"/>
                <w:szCs w:val="1"/>
                <w:color w:val="auto"/>
              </w:rPr>
            </w:pPr>
          </w:p>
        </w:tc>
      </w:tr>
      <w:tr>
        <w:trPr>
          <w:trHeight w:val="210"/>
        </w:trPr>
        <w:tc>
          <w:tcPr>
            <w:tcW w:w="360" w:type="dxa"/>
            <w:vAlign w:val="bottom"/>
          </w:tcPr>
          <w:p>
            <w:pPr>
              <w:ind w:left="220"/>
              <w:spacing w:after="0"/>
              <w:rPr>
                <w:sz w:val="20"/>
                <w:szCs w:val="20"/>
                <w:color w:val="auto"/>
              </w:rPr>
            </w:pPr>
            <w:r>
              <w:rPr>
                <w:rFonts w:ascii="Arial" w:cs="Arial" w:eastAsia="Arial" w:hAnsi="Arial"/>
                <w:sz w:val="15"/>
                <w:szCs w:val="15"/>
                <w:color w:val="1A475F"/>
              </w:rPr>
              <w:t>•</w:t>
            </w:r>
          </w:p>
        </w:tc>
        <w:tc>
          <w:tcPr>
            <w:tcW w:w="2520" w:type="dxa"/>
            <w:vAlign w:val="bottom"/>
          </w:tcPr>
          <w:p>
            <w:pPr>
              <w:ind w:left="100"/>
              <w:spacing w:after="0"/>
              <w:rPr>
                <w:sz w:val="20"/>
                <w:szCs w:val="20"/>
                <w:color w:val="auto"/>
              </w:rPr>
            </w:pPr>
            <w:r>
              <w:rPr>
                <w:rFonts w:ascii="Arial" w:cs="Arial" w:eastAsia="Arial" w:hAnsi="Arial"/>
                <w:sz w:val="15"/>
                <w:szCs w:val="15"/>
                <w:color w:val="1A475F"/>
              </w:rPr>
              <w:t>Internal Audit</w:t>
            </w:r>
          </w:p>
        </w:tc>
        <w:tc>
          <w:tcPr>
            <w:tcW w:w="360" w:type="dxa"/>
            <w:vAlign w:val="bottom"/>
          </w:tcPr>
          <w:p>
            <w:pPr>
              <w:ind w:left="200"/>
              <w:spacing w:after="0"/>
              <w:rPr>
                <w:sz w:val="20"/>
                <w:szCs w:val="20"/>
                <w:color w:val="auto"/>
              </w:rPr>
            </w:pPr>
            <w:r>
              <w:rPr>
                <w:rFonts w:ascii="Arial" w:cs="Arial" w:eastAsia="Arial" w:hAnsi="Arial"/>
                <w:sz w:val="15"/>
                <w:szCs w:val="15"/>
                <w:color w:val="1A475F"/>
              </w:rPr>
              <w:t>•</w:t>
            </w:r>
          </w:p>
        </w:tc>
        <w:tc>
          <w:tcPr>
            <w:tcW w:w="2620" w:type="dxa"/>
            <w:vAlign w:val="bottom"/>
          </w:tcPr>
          <w:p>
            <w:pPr>
              <w:ind w:left="80"/>
              <w:spacing w:after="0"/>
              <w:rPr>
                <w:sz w:val="20"/>
                <w:szCs w:val="20"/>
                <w:color w:val="auto"/>
              </w:rPr>
            </w:pPr>
            <w:r>
              <w:rPr>
                <w:rFonts w:ascii="Arial" w:cs="Arial" w:eastAsia="Arial" w:hAnsi="Arial"/>
                <w:sz w:val="15"/>
                <w:szCs w:val="15"/>
                <w:color w:val="1A475F"/>
              </w:rPr>
              <w:t>Incident Management</w:t>
            </w:r>
          </w:p>
        </w:tc>
        <w:tc>
          <w:tcPr>
            <w:tcW w:w="420" w:type="dxa"/>
            <w:vAlign w:val="bottom"/>
          </w:tcPr>
          <w:p>
            <w:pPr>
              <w:ind w:left="280"/>
              <w:spacing w:after="0"/>
              <w:rPr>
                <w:sz w:val="20"/>
                <w:szCs w:val="20"/>
                <w:color w:val="auto"/>
              </w:rPr>
            </w:pPr>
            <w:r>
              <w:rPr>
                <w:rFonts w:ascii="Arial" w:cs="Arial" w:eastAsia="Arial" w:hAnsi="Arial"/>
                <w:sz w:val="15"/>
                <w:szCs w:val="15"/>
                <w:color w:val="1A475F"/>
              </w:rPr>
              <w:t>•</w:t>
            </w:r>
          </w:p>
        </w:tc>
        <w:tc>
          <w:tcPr>
            <w:tcW w:w="3180" w:type="dxa"/>
            <w:vAlign w:val="bottom"/>
          </w:tcPr>
          <w:p>
            <w:pPr>
              <w:ind w:left="100"/>
              <w:spacing w:after="0"/>
              <w:rPr>
                <w:sz w:val="20"/>
                <w:szCs w:val="20"/>
                <w:color w:val="auto"/>
              </w:rPr>
            </w:pPr>
            <w:r>
              <w:rPr>
                <w:rFonts w:ascii="Arial" w:cs="Arial" w:eastAsia="Arial" w:hAnsi="Arial"/>
                <w:sz w:val="15"/>
                <w:szCs w:val="15"/>
                <w:color w:val="1A475F"/>
              </w:rPr>
              <w:t>Human Resources Functions</w:t>
            </w:r>
          </w:p>
        </w:tc>
        <w:tc>
          <w:tcPr>
            <w:tcW w:w="0" w:type="dxa"/>
            <w:vAlign w:val="bottom"/>
          </w:tcPr>
          <w:p>
            <w:pPr>
              <w:spacing w:after="0"/>
              <w:rPr>
                <w:sz w:val="1"/>
                <w:szCs w:val="1"/>
                <w:color w:val="auto"/>
              </w:rPr>
            </w:pPr>
          </w:p>
        </w:tc>
      </w:tr>
      <w:tr>
        <w:trPr>
          <w:trHeight w:val="203"/>
        </w:trPr>
        <w:tc>
          <w:tcPr>
            <w:tcW w:w="360" w:type="dxa"/>
            <w:vAlign w:val="bottom"/>
          </w:tcPr>
          <w:p>
            <w:pPr>
              <w:ind w:left="220"/>
              <w:spacing w:after="0"/>
              <w:rPr>
                <w:sz w:val="20"/>
                <w:szCs w:val="20"/>
                <w:color w:val="auto"/>
              </w:rPr>
            </w:pPr>
            <w:r>
              <w:rPr>
                <w:rFonts w:ascii="Arial" w:cs="Arial" w:eastAsia="Arial" w:hAnsi="Arial"/>
                <w:sz w:val="15"/>
                <w:szCs w:val="15"/>
                <w:color w:val="1A475F"/>
              </w:rPr>
              <w:t>•</w:t>
            </w:r>
          </w:p>
        </w:tc>
        <w:tc>
          <w:tcPr>
            <w:tcW w:w="2520" w:type="dxa"/>
            <w:vAlign w:val="bottom"/>
          </w:tcPr>
          <w:p>
            <w:pPr>
              <w:ind w:left="100"/>
              <w:spacing w:after="0"/>
              <w:rPr>
                <w:sz w:val="20"/>
                <w:szCs w:val="20"/>
                <w:color w:val="auto"/>
              </w:rPr>
            </w:pPr>
            <w:r>
              <w:rPr>
                <w:rFonts w:ascii="Arial" w:cs="Arial" w:eastAsia="Arial" w:hAnsi="Arial"/>
                <w:sz w:val="15"/>
                <w:szCs w:val="15"/>
                <w:color w:val="1A475F"/>
              </w:rPr>
              <w:t>General Counsel (including</w:t>
            </w:r>
          </w:p>
        </w:tc>
        <w:tc>
          <w:tcPr>
            <w:tcW w:w="360" w:type="dxa"/>
            <w:vAlign w:val="bottom"/>
          </w:tcPr>
          <w:p>
            <w:pPr>
              <w:ind w:left="200"/>
              <w:spacing w:after="0"/>
              <w:rPr>
                <w:sz w:val="20"/>
                <w:szCs w:val="20"/>
                <w:color w:val="auto"/>
              </w:rPr>
            </w:pPr>
            <w:r>
              <w:rPr>
                <w:rFonts w:ascii="Arial" w:cs="Arial" w:eastAsia="Arial" w:hAnsi="Arial"/>
                <w:sz w:val="15"/>
                <w:szCs w:val="15"/>
                <w:color w:val="1A475F"/>
              </w:rPr>
              <w:t>•</w:t>
            </w:r>
          </w:p>
        </w:tc>
        <w:tc>
          <w:tcPr>
            <w:tcW w:w="2620" w:type="dxa"/>
            <w:vAlign w:val="bottom"/>
          </w:tcPr>
          <w:p>
            <w:pPr>
              <w:ind w:left="80"/>
              <w:spacing w:after="0"/>
              <w:rPr>
                <w:sz w:val="20"/>
                <w:szCs w:val="20"/>
                <w:color w:val="auto"/>
              </w:rPr>
            </w:pPr>
            <w:r>
              <w:rPr>
                <w:rFonts w:ascii="Arial" w:cs="Arial" w:eastAsia="Arial" w:hAnsi="Arial"/>
                <w:sz w:val="15"/>
                <w:szCs w:val="15"/>
                <w:color w:val="1A475F"/>
              </w:rPr>
              <w:t>Global Health &amp; Safety Function</w:t>
            </w:r>
          </w:p>
        </w:tc>
        <w:tc>
          <w:tcPr>
            <w:tcW w:w="420" w:type="dxa"/>
            <w:vAlign w:val="bottom"/>
          </w:tcPr>
          <w:p>
            <w:pPr>
              <w:ind w:left="280"/>
              <w:spacing w:after="0"/>
              <w:rPr>
                <w:sz w:val="20"/>
                <w:szCs w:val="20"/>
                <w:color w:val="auto"/>
              </w:rPr>
            </w:pPr>
            <w:r>
              <w:rPr>
                <w:rFonts w:ascii="Arial" w:cs="Arial" w:eastAsia="Arial" w:hAnsi="Arial"/>
                <w:sz w:val="15"/>
                <w:szCs w:val="15"/>
                <w:color w:val="1A475F"/>
              </w:rPr>
              <w:t>•</w:t>
            </w:r>
          </w:p>
        </w:tc>
        <w:tc>
          <w:tcPr>
            <w:tcW w:w="3180" w:type="dxa"/>
            <w:vAlign w:val="bottom"/>
          </w:tcPr>
          <w:p>
            <w:pPr>
              <w:ind w:left="100"/>
              <w:spacing w:after="0"/>
              <w:rPr>
                <w:sz w:val="20"/>
                <w:szCs w:val="20"/>
                <w:color w:val="auto"/>
              </w:rPr>
            </w:pPr>
            <w:r>
              <w:rPr>
                <w:rFonts w:ascii="Arial" w:cs="Arial" w:eastAsia="Arial" w:hAnsi="Arial"/>
                <w:sz w:val="15"/>
                <w:szCs w:val="15"/>
                <w:color w:val="1A475F"/>
              </w:rPr>
              <w:t>Inclusion Steering Committee</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520" w:type="dxa"/>
            <w:vAlign w:val="bottom"/>
          </w:tcPr>
          <w:p>
            <w:pPr>
              <w:ind w:left="100"/>
              <w:spacing w:after="0"/>
              <w:rPr>
                <w:sz w:val="20"/>
                <w:szCs w:val="20"/>
                <w:color w:val="auto"/>
              </w:rPr>
            </w:pPr>
            <w:r>
              <w:rPr>
                <w:rFonts w:ascii="Arial" w:cs="Arial" w:eastAsia="Arial" w:hAnsi="Arial"/>
                <w:sz w:val="15"/>
                <w:szCs w:val="15"/>
                <w:color w:val="1A475F"/>
              </w:rPr>
              <w:t>Corporate Governance)</w:t>
            </w:r>
          </w:p>
        </w:tc>
        <w:tc>
          <w:tcPr>
            <w:tcW w:w="360" w:type="dxa"/>
            <w:vAlign w:val="bottom"/>
            <w:vMerge w:val="restart"/>
          </w:tcPr>
          <w:p>
            <w:pPr>
              <w:ind w:left="200"/>
              <w:spacing w:after="0"/>
              <w:rPr>
                <w:sz w:val="20"/>
                <w:szCs w:val="20"/>
                <w:color w:val="auto"/>
              </w:rPr>
            </w:pPr>
            <w:r>
              <w:rPr>
                <w:rFonts w:ascii="Arial" w:cs="Arial" w:eastAsia="Arial" w:hAnsi="Arial"/>
                <w:sz w:val="15"/>
                <w:szCs w:val="15"/>
                <w:color w:val="1A475F"/>
              </w:rPr>
              <w:t>•</w:t>
            </w:r>
          </w:p>
        </w:tc>
        <w:tc>
          <w:tcPr>
            <w:tcW w:w="2620" w:type="dxa"/>
            <w:vAlign w:val="bottom"/>
            <w:vMerge w:val="restart"/>
          </w:tcPr>
          <w:p>
            <w:pPr>
              <w:ind w:left="80"/>
              <w:spacing w:after="0"/>
              <w:rPr>
                <w:sz w:val="20"/>
                <w:szCs w:val="20"/>
                <w:color w:val="auto"/>
              </w:rPr>
            </w:pPr>
            <w:r>
              <w:rPr>
                <w:rFonts w:ascii="Arial" w:cs="Arial" w:eastAsia="Arial" w:hAnsi="Arial"/>
                <w:sz w:val="15"/>
                <w:szCs w:val="15"/>
                <w:color w:val="1A475F"/>
              </w:rPr>
              <w:t>Chief Information Officer</w:t>
            </w:r>
          </w:p>
        </w:tc>
        <w:tc>
          <w:tcPr>
            <w:tcW w:w="3600" w:type="dxa"/>
            <w:vAlign w:val="bottom"/>
            <w:gridSpan w:val="2"/>
            <w:vMerge w:val="restart"/>
          </w:tcPr>
          <w:p>
            <w:pPr>
              <w:ind w:left="280"/>
              <w:spacing w:after="0"/>
              <w:rPr>
                <w:sz w:val="20"/>
                <w:szCs w:val="20"/>
                <w:color w:val="auto"/>
              </w:rPr>
            </w:pPr>
            <w:r>
              <w:rPr>
                <w:rFonts w:ascii="Arial" w:cs="Arial" w:eastAsia="Arial" w:hAnsi="Arial"/>
                <w:sz w:val="15"/>
                <w:szCs w:val="15"/>
                <w:color w:val="1A475F"/>
              </w:rPr>
              <w:t>•  Governance, Risk &amp; Compliance Committee</w:t>
            </w:r>
          </w:p>
        </w:tc>
        <w:tc>
          <w:tcPr>
            <w:tcW w:w="0" w:type="dxa"/>
            <w:vAlign w:val="bottom"/>
          </w:tcPr>
          <w:p>
            <w:pPr>
              <w:spacing w:after="0"/>
              <w:rPr>
                <w:sz w:val="1"/>
                <w:szCs w:val="1"/>
                <w:color w:val="auto"/>
              </w:rPr>
            </w:pPr>
          </w:p>
        </w:tc>
      </w:tr>
      <w:tr>
        <w:trPr>
          <w:trHeight w:val="58"/>
        </w:trPr>
        <w:tc>
          <w:tcPr>
            <w:tcW w:w="360" w:type="dxa"/>
            <w:vAlign w:val="bottom"/>
            <w:vMerge w:val="restart"/>
          </w:tcPr>
          <w:p>
            <w:pPr>
              <w:ind w:left="220"/>
              <w:spacing w:after="0"/>
              <w:rPr>
                <w:sz w:val="20"/>
                <w:szCs w:val="20"/>
                <w:color w:val="auto"/>
              </w:rPr>
            </w:pPr>
            <w:r>
              <w:rPr>
                <w:rFonts w:ascii="Arial" w:cs="Arial" w:eastAsia="Arial" w:hAnsi="Arial"/>
                <w:sz w:val="15"/>
                <w:szCs w:val="15"/>
                <w:color w:val="1A475F"/>
              </w:rPr>
              <w:t>•</w:t>
            </w:r>
          </w:p>
        </w:tc>
        <w:tc>
          <w:tcPr>
            <w:tcW w:w="2520" w:type="dxa"/>
            <w:vAlign w:val="bottom"/>
            <w:vMerge w:val="restart"/>
          </w:tcPr>
          <w:p>
            <w:pPr>
              <w:ind w:left="100"/>
              <w:spacing w:after="0"/>
              <w:rPr>
                <w:sz w:val="20"/>
                <w:szCs w:val="20"/>
                <w:color w:val="auto"/>
              </w:rPr>
            </w:pPr>
            <w:r>
              <w:rPr>
                <w:rFonts w:ascii="Arial" w:cs="Arial" w:eastAsia="Arial" w:hAnsi="Arial"/>
                <w:sz w:val="15"/>
                <w:szCs w:val="15"/>
                <w:color w:val="1A475F"/>
              </w:rPr>
              <w:t>Risk Management Function</w:t>
            </w:r>
          </w:p>
        </w:tc>
        <w:tc>
          <w:tcPr>
            <w:tcW w:w="36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3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60" w:type="dxa"/>
            <w:vAlign w:val="bottom"/>
            <w:vMerge w:val="continue"/>
          </w:tcPr>
          <w:p>
            <w:pPr>
              <w:spacing w:after="0"/>
              <w:rPr>
                <w:sz w:val="17"/>
                <w:szCs w:val="17"/>
                <w:color w:val="auto"/>
              </w:rPr>
            </w:pPr>
          </w:p>
        </w:tc>
        <w:tc>
          <w:tcPr>
            <w:tcW w:w="2520" w:type="dxa"/>
            <w:vAlign w:val="bottom"/>
            <w:vMerge w:val="continue"/>
          </w:tcPr>
          <w:p>
            <w:pPr>
              <w:spacing w:after="0"/>
              <w:rPr>
                <w:sz w:val="17"/>
                <w:szCs w:val="17"/>
                <w:color w:val="auto"/>
              </w:rPr>
            </w:pPr>
          </w:p>
        </w:tc>
        <w:tc>
          <w:tcPr>
            <w:tcW w:w="360" w:type="dxa"/>
            <w:vAlign w:val="bottom"/>
          </w:tcPr>
          <w:p>
            <w:pPr>
              <w:ind w:left="200"/>
              <w:spacing w:after="0"/>
              <w:rPr>
                <w:sz w:val="20"/>
                <w:szCs w:val="20"/>
                <w:color w:val="auto"/>
              </w:rPr>
            </w:pPr>
            <w:r>
              <w:rPr>
                <w:rFonts w:ascii="Arial" w:cs="Arial" w:eastAsia="Arial" w:hAnsi="Arial"/>
                <w:sz w:val="15"/>
                <w:szCs w:val="15"/>
                <w:color w:val="1A475F"/>
              </w:rPr>
              <w:t>•</w:t>
            </w:r>
          </w:p>
        </w:tc>
        <w:tc>
          <w:tcPr>
            <w:tcW w:w="2620" w:type="dxa"/>
            <w:vAlign w:val="bottom"/>
          </w:tcPr>
          <w:p>
            <w:pPr>
              <w:ind w:left="80"/>
              <w:spacing w:after="0"/>
              <w:rPr>
                <w:sz w:val="20"/>
                <w:szCs w:val="20"/>
                <w:color w:val="auto"/>
              </w:rPr>
            </w:pPr>
            <w:r>
              <w:rPr>
                <w:rFonts w:ascii="Arial" w:cs="Arial" w:eastAsia="Arial" w:hAnsi="Arial"/>
                <w:sz w:val="15"/>
                <w:szCs w:val="15"/>
                <w:color w:val="1A475F"/>
              </w:rPr>
              <w:t>Chief Information Security Officer</w:t>
            </w:r>
          </w:p>
        </w:tc>
        <w:tc>
          <w:tcPr>
            <w:tcW w:w="3600" w:type="dxa"/>
            <w:vAlign w:val="bottom"/>
            <w:gridSpan w:val="2"/>
          </w:tcPr>
          <w:p>
            <w:pPr>
              <w:ind w:left="280"/>
              <w:spacing w:after="0"/>
              <w:rPr>
                <w:sz w:val="20"/>
                <w:szCs w:val="20"/>
                <w:color w:val="auto"/>
              </w:rPr>
            </w:pPr>
            <w:r>
              <w:rPr>
                <w:rFonts w:ascii="Arial" w:cs="Arial" w:eastAsia="Arial" w:hAnsi="Arial"/>
                <w:sz w:val="15"/>
                <w:szCs w:val="15"/>
                <w:color w:val="1A475F"/>
              </w:rPr>
              <w:t>•  Support from External Legal Counsel &amp;</w:t>
            </w:r>
          </w:p>
        </w:tc>
        <w:tc>
          <w:tcPr>
            <w:tcW w:w="0" w:type="dxa"/>
            <w:vAlign w:val="bottom"/>
          </w:tcPr>
          <w:p>
            <w:pPr>
              <w:spacing w:after="0"/>
              <w:rPr>
                <w:sz w:val="1"/>
                <w:szCs w:val="1"/>
                <w:color w:val="auto"/>
              </w:rPr>
            </w:pPr>
          </w:p>
        </w:tc>
      </w:tr>
      <w:tr>
        <w:trPr>
          <w:trHeight w:val="202"/>
        </w:trPr>
        <w:tc>
          <w:tcPr>
            <w:tcW w:w="2880" w:type="dxa"/>
            <w:vAlign w:val="bottom"/>
            <w:gridSpan w:val="2"/>
          </w:tcPr>
          <w:p>
            <w:pPr>
              <w:ind w:left="220"/>
              <w:spacing w:after="0"/>
              <w:rPr>
                <w:sz w:val="20"/>
                <w:szCs w:val="20"/>
                <w:color w:val="auto"/>
              </w:rPr>
            </w:pPr>
            <w:r>
              <w:rPr>
                <w:rFonts w:ascii="Arial" w:cs="Arial" w:eastAsia="Arial" w:hAnsi="Arial"/>
                <w:sz w:val="15"/>
                <w:szCs w:val="15"/>
                <w:color w:val="1A475F"/>
              </w:rPr>
              <w:t>•  Global Safeguarding Task Force</w:t>
            </w:r>
          </w:p>
        </w:tc>
        <w:tc>
          <w:tcPr>
            <w:tcW w:w="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Arial" w:cs="Arial" w:eastAsia="Arial" w:hAnsi="Arial"/>
                <w:sz w:val="15"/>
                <w:szCs w:val="15"/>
                <w:color w:val="1A475F"/>
              </w:rPr>
              <w:t>Other Advisors</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360" w:hanging="247"/>
        <w:spacing w:after="0"/>
        <w:tabs>
          <w:tab w:leader="none" w:pos="1360" w:val="left"/>
        </w:tabs>
        <w:numPr>
          <w:ilvl w:val="0"/>
          <w:numId w:val="25"/>
        </w:numPr>
        <w:rPr>
          <w:rFonts w:ascii="Arial" w:cs="Arial" w:eastAsia="Arial" w:hAnsi="Arial"/>
          <w:sz w:val="15"/>
          <w:szCs w:val="15"/>
          <w:color w:val="1A475F"/>
        </w:rPr>
      </w:pPr>
      <w:r>
        <w:rPr>
          <w:rFonts w:ascii="Arial" w:cs="Arial" w:eastAsia="Arial" w:hAnsi="Arial"/>
          <w:sz w:val="15"/>
          <w:szCs w:val="15"/>
          <w:color w:val="1A475F"/>
        </w:rPr>
        <w:t>Global Privacy Officer</w:t>
      </w:r>
    </w:p>
    <w:p>
      <w:pPr>
        <w:spacing w:after="0" w:line="208" w:lineRule="exact"/>
        <w:rPr>
          <w:sz w:val="20"/>
          <w:szCs w:val="20"/>
          <w:color w:val="auto"/>
        </w:rPr>
      </w:pPr>
    </w:p>
    <w:p>
      <w:pPr>
        <w:ind w:left="8040"/>
        <w:spacing w:after="0"/>
        <w:tabs>
          <w:tab w:leader="none" w:pos="9880" w:val="left"/>
          <w:tab w:leader="none" w:pos="101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15</w:t>
      </w:r>
    </w:p>
    <w:p>
      <w:pPr>
        <w:sectPr>
          <w:pgSz w:w="11900" w:h="16838" w:orient="portrait"/>
          <w:cols w:equalWidth="0" w:num="1">
            <w:col w:w="10360"/>
          </w:cols>
          <w:pgMar w:left="320" w:top="433" w:right="12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Cybersecurity Risk Oversight</w:t>
      </w:r>
    </w:p>
    <w:p>
      <w:pPr>
        <w:spacing w:after="0" w:line="94" w:lineRule="exact"/>
        <w:rPr>
          <w:sz w:val="20"/>
          <w:szCs w:val="20"/>
          <w:color w:val="auto"/>
        </w:rPr>
      </w:pPr>
    </w:p>
    <w:p>
      <w:pPr>
        <w:ind w:left="900" w:firstLine="756"/>
        <w:spacing w:after="0" w:line="251" w:lineRule="auto"/>
        <w:rPr>
          <w:sz w:val="20"/>
          <w:szCs w:val="20"/>
          <w:color w:val="auto"/>
        </w:rPr>
      </w:pPr>
      <w:r>
        <w:rPr>
          <w:rFonts w:ascii="Arial" w:cs="Arial" w:eastAsia="Arial" w:hAnsi="Arial"/>
          <w:sz w:val="15"/>
          <w:szCs w:val="15"/>
          <w:color w:val="1A475F"/>
        </w:rPr>
        <w:t>We recognize the critical importance of maintaining the safety and security of our information technology systems and data. At the management level, our information technology (“IT”) department is led by our SVP, Chief Information Officer (“CIO”), who reports directly to our Chief Executive Officer. Our VP, Chief Information Security Officer (“CISO”) oversees our Information Security Office, reports directly to the CIO, and is responsible for managing our risks from cybersecurity threats, protecting and defending our networks and systems, and overseeing our Information Security Office.</w:t>
      </w:r>
    </w:p>
    <w:p>
      <w:pPr>
        <w:spacing w:after="0" w:line="151" w:lineRule="exact"/>
        <w:rPr>
          <w:sz w:val="20"/>
          <w:szCs w:val="20"/>
          <w:color w:val="auto"/>
        </w:rPr>
      </w:pPr>
    </w:p>
    <w:p>
      <w:pPr>
        <w:ind w:left="900" w:right="20" w:firstLine="756"/>
        <w:spacing w:after="0" w:line="247" w:lineRule="auto"/>
        <w:rPr>
          <w:sz w:val="20"/>
          <w:szCs w:val="20"/>
          <w:color w:val="auto"/>
        </w:rPr>
      </w:pPr>
      <w:r>
        <w:rPr>
          <w:rFonts w:ascii="Arial" w:cs="Arial" w:eastAsia="Arial" w:hAnsi="Arial"/>
          <w:sz w:val="15"/>
          <w:szCs w:val="15"/>
          <w:color w:val="1A475F"/>
        </w:rPr>
        <w:t>Our IT department and Information Security Office, supported by our Global Privacy Officer, regularly evaluate cybersecurity risks, which are assessed within our ERM framework. Our annual ERM program is reviewed and overseen by the Audit Committee and is presented to the Board annually. We maintain an internal Privacy and Security Steering Committee, co-chaired by our CISO and Global Privacy Officer and made up of members from IT, legal, privacy and international operations, which is tasked with review of, and oversight over, our privacy and data security programs, policies and strategy. Our Governance, Risk and Compliance Committee provides additional support for ERM assessment and governance by monitoring our ERM program and engaging with compliance functions across the organization to identify gaps, support corrective action plans and promote best practices. Our internal control over financial reporting, including key business process controls and IT general controls, are reviewed and tested by our Internal Audit function annually.</w:t>
      </w:r>
    </w:p>
    <w:p>
      <w:pPr>
        <w:spacing w:after="0" w:line="154" w:lineRule="exact"/>
        <w:rPr>
          <w:sz w:val="20"/>
          <w:szCs w:val="20"/>
          <w:color w:val="auto"/>
        </w:rPr>
      </w:pPr>
    </w:p>
    <w:p>
      <w:pPr>
        <w:ind w:left="900" w:right="180" w:firstLine="756"/>
        <w:spacing w:after="0" w:line="247" w:lineRule="auto"/>
        <w:rPr>
          <w:sz w:val="20"/>
          <w:szCs w:val="20"/>
          <w:color w:val="auto"/>
        </w:rPr>
      </w:pPr>
      <w:r>
        <w:rPr>
          <w:rFonts w:ascii="Arial" w:cs="Arial" w:eastAsia="Arial" w:hAnsi="Arial"/>
          <w:sz w:val="15"/>
          <w:szCs w:val="15"/>
          <w:color w:val="1A475F"/>
        </w:rPr>
        <w:t>At the Board level, our Board administers its risk oversight role directly and through its committee structure. While our Board has ultimate responsibility for overseeing our cyber risk, our Audit Committee also oversees risks related to cybersecurity threats, data protection, data privacy and business continuity. Our Audit Committee regularly discusses and, at least annually, reviews with management, including our CIO, CISO and Global Privacy Officer, our cyber, information security, and data privacy risks and programs. This review includes risk assessments, the implementation of policies, procedures, processes and controls for the management of risks, management’s actions to identify and detect cyber threats and incidents, the results of tests and assessments and updates on our programs to manage disaster recovery, data privacy and compliance and artificial intelligence. Our management team also provides updates to the Board periodically.</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Please refer to Item 1C. “Cybersecurity” in Part I of our 2025 Annual Report for additional information regarding cybersecurity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1A475F"/>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133350</wp:posOffset>
            </wp:positionV>
            <wp:extent cx="5997575" cy="183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31"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Communications with Directors</w:t>
      </w:r>
    </w:p>
    <w:p>
      <w:pPr>
        <w:spacing w:after="0" w:line="154" w:lineRule="exact"/>
        <w:rPr>
          <w:sz w:val="20"/>
          <w:szCs w:val="20"/>
          <w:color w:val="auto"/>
        </w:rPr>
      </w:pPr>
    </w:p>
    <w:p>
      <w:pPr>
        <w:ind w:left="900" w:right="140" w:firstLine="756"/>
        <w:spacing w:after="0" w:line="251" w:lineRule="auto"/>
        <w:rPr>
          <w:sz w:val="20"/>
          <w:szCs w:val="20"/>
          <w:color w:val="auto"/>
        </w:rPr>
      </w:pPr>
      <w:r>
        <w:rPr>
          <w:rFonts w:ascii="Arial" w:cs="Arial" w:eastAsia="Arial" w:hAnsi="Arial"/>
          <w:sz w:val="15"/>
          <w:szCs w:val="15"/>
          <w:color w:val="1A475F"/>
        </w:rPr>
        <w:t>Shareholders and other interested parties may communicate directly with the Board, the non-employee directors or the independent directors as a group, or specified individual directors, such as the presiding director, by writing to such individual or group c/o Corporate Secretary, Bright Horizons Family Solutions Inc., 2 Wells Avenue, Newton, MA 02459. The Secretary will forward such communications to the relevant group or individual at or prior to the next meeting of the Board, excluding those items that are not directly related to Board duties and responsibilities, such as advertisements, solicitations, surveys, junk mail and mass mailings.</w:t>
      </w:r>
    </w:p>
    <w:p>
      <w:pPr>
        <w:spacing w:after="0" w:line="92"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16</w:t>
        <w:tab/>
        <w:t>|    Bright Horizons </w:t>
      </w:r>
    </w:p>
    <w:p>
      <w:pPr>
        <w:sectPr>
          <w:pgSz w:w="11900" w:h="16838" w:orient="portrait"/>
          <w:cols w:equalWidth="0" w:num="1">
            <w:col w:w="10340"/>
          </w:cols>
          <w:pgMar w:left="320" w:top="433" w:right="1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3320"/>
        <w:spacing w:after="0"/>
        <w:rPr>
          <w:sz w:val="20"/>
          <w:szCs w:val="20"/>
          <w:color w:val="auto"/>
        </w:rPr>
      </w:pPr>
      <w:r>
        <w:rPr>
          <w:rFonts w:ascii="Arial" w:cs="Arial" w:eastAsia="Arial" w:hAnsi="Arial"/>
          <w:sz w:val="15"/>
          <w:szCs w:val="15"/>
          <w:b w:val="1"/>
          <w:bCs w:val="1"/>
          <w:color w:val="1A475F"/>
        </w:rPr>
        <w:t>CORPORATE GOVERNANCE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97575" cy="146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334645</wp:posOffset>
            </wp:positionV>
            <wp:extent cx="5997575" cy="161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97575" cy="16192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Corporate Governance Highlights</w:t>
      </w:r>
    </w:p>
    <w:p>
      <w:pPr>
        <w:spacing w:after="0" w:line="119" w:lineRule="exact"/>
        <w:rPr>
          <w:sz w:val="20"/>
          <w:szCs w:val="20"/>
          <w:color w:val="auto"/>
        </w:rPr>
      </w:pPr>
    </w:p>
    <w:p>
      <w:pPr>
        <w:ind w:left="900" w:right="160" w:firstLine="756"/>
        <w:spacing w:after="0" w:line="251" w:lineRule="auto"/>
        <w:rPr>
          <w:sz w:val="20"/>
          <w:szCs w:val="20"/>
          <w:color w:val="auto"/>
        </w:rPr>
      </w:pPr>
      <w:r>
        <w:rPr>
          <w:rFonts w:ascii="Arial" w:cs="Arial" w:eastAsia="Arial" w:hAnsi="Arial"/>
          <w:sz w:val="15"/>
          <w:szCs w:val="15"/>
          <w:color w:val="1A475F"/>
        </w:rPr>
        <w:t>Bright Horizons demands integrity and is committed to upholding high ethical standards. We believe that our strong corporate governance practices support this goal and provide a framework within which the Board and management can pursue the strategic objectives of the Company and ensure long-term growth for the benefit of our shareholders. The Nominating and Corporate Governance Committee regularly reviews developments in, and matters related to, corporate governance. Highlights of our corporate governance practices, as of the date of this Proxy Statement, are listed below and discussed elsewhere in this Proxy Statement.</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Key Corporate Governance Practices:</w:t>
      </w:r>
    </w:p>
    <w:p>
      <w:pPr>
        <w:sectPr>
          <w:pgSz w:w="11900" w:h="16838" w:orient="portrait"/>
          <w:cols w:equalWidth="0" w:num="1">
            <w:col w:w="10340"/>
          </w:cols>
          <w:pgMar w:left="320" w:top="433" w:right="1239" w:bottom="1440" w:gutter="0" w:footer="0" w:header="0"/>
        </w:sectPr>
      </w:pPr>
    </w:p>
    <w:p>
      <w:pPr>
        <w:spacing w:after="0" w:line="174" w:lineRule="exact"/>
        <w:rPr>
          <w:sz w:val="20"/>
          <w:szCs w:val="20"/>
          <w:color w:val="auto"/>
        </w:rPr>
      </w:pPr>
    </w:p>
    <w:p>
      <w:pPr>
        <w:ind w:left="900"/>
        <w:spacing w:after="0" w:line="141" w:lineRule="exact"/>
        <w:rPr>
          <w:sz w:val="20"/>
          <w:szCs w:val="20"/>
          <w:color w:val="auto"/>
        </w:rPr>
      </w:pPr>
      <w:r>
        <w:rPr>
          <w:rFonts w:ascii="MS PGothic" w:cs="MS PGothic" w:eastAsia="MS PGothic" w:hAnsi="MS PGothic"/>
          <w:sz w:val="14"/>
          <w:szCs w:val="14"/>
          <w:color w:val="1A475F"/>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1A475F"/>
        </w:rPr>
        <w:t>Ongoing Board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1A475F"/>
        </w:rPr>
        <w:t>Declassification: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1A475F"/>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600"/>
        <w:spacing w:after="0" w:line="261" w:lineRule="auto"/>
        <w:rPr>
          <w:sz w:val="20"/>
          <w:szCs w:val="20"/>
          <w:color w:val="auto"/>
        </w:rPr>
      </w:pPr>
      <w:r>
        <w:rPr>
          <w:rFonts w:ascii="Arial" w:cs="Arial" w:eastAsia="Arial" w:hAnsi="Arial"/>
          <w:sz w:val="15"/>
          <w:szCs w:val="15"/>
          <w:color w:val="1A475F"/>
        </w:rPr>
        <w:t>Shareholders previously approved an amendment to our Certificate of Incorporation to fully declassify our Board by the 2027 Annual Meeting.</w:t>
      </w:r>
    </w:p>
    <w:p>
      <w:pPr>
        <w:spacing w:after="0" w:line="18" w:lineRule="exact"/>
        <w:rPr>
          <w:sz w:val="20"/>
          <w:szCs w:val="20"/>
          <w:color w:val="auto"/>
        </w:rPr>
      </w:pPr>
    </w:p>
    <w:p>
      <w:pPr>
        <w:sectPr>
          <w:pgSz w:w="11900" w:h="16838" w:orient="portrait"/>
          <w:cols w:equalWidth="0" w:num="4">
            <w:col w:w="1040" w:space="60"/>
            <w:col w:w="1460" w:space="720"/>
            <w:col w:w="40" w:space="240"/>
            <w:col w:w="6780"/>
          </w:cols>
          <w:pgMar w:left="320" w:top="433" w:right="1239" w:bottom="1440" w:gutter="0" w:footer="0" w:header="0"/>
          <w:type w:val="continuous"/>
        </w:sectPr>
      </w:pPr>
    </w:p>
    <w:p>
      <w:pPr>
        <w:ind w:left="3560" w:right="340" w:hanging="2659"/>
        <w:spacing w:after="0" w:line="261" w:lineRule="auto"/>
        <w:tabs>
          <w:tab w:leader="none" w:pos="1114" w:val="left"/>
        </w:tabs>
        <w:numPr>
          <w:ilvl w:val="0"/>
          <w:numId w:val="26"/>
        </w:numPr>
        <w:rPr>
          <w:rFonts w:ascii="MS PGothic" w:cs="MS PGothic" w:eastAsia="MS PGothic" w:hAnsi="MS PGothic"/>
          <w:sz w:val="15"/>
          <w:szCs w:val="15"/>
          <w:color w:val="1A475F"/>
        </w:rPr>
      </w:pPr>
      <w:r>
        <w:rPr>
          <w:rFonts w:ascii="Arial" w:cs="Arial" w:eastAsia="Arial" w:hAnsi="Arial"/>
          <w:sz w:val="15"/>
          <w:szCs w:val="15"/>
          <w:color w:val="1A475F"/>
        </w:rPr>
        <w:t>Ongoing Board Refreshment: • We are committed to Board refreshment and continuously seek to balance continuity and fresh perspectives and, most recently, added Ms. Schulz to the Board in September 2024.</w:t>
      </w:r>
    </w:p>
    <w:p>
      <w:pPr>
        <w:spacing w:after="0" w:line="18" w:lineRule="exact"/>
        <w:rPr>
          <w:rFonts w:ascii="MS PGothic" w:cs="MS PGothic" w:eastAsia="MS PGothic" w:hAnsi="MS PGothic"/>
          <w:sz w:val="15"/>
          <w:szCs w:val="15"/>
          <w:color w:val="1A475F"/>
        </w:rPr>
      </w:pPr>
    </w:p>
    <w:p>
      <w:pPr>
        <w:ind w:left="1100" w:hanging="199"/>
        <w:spacing w:after="0"/>
        <w:tabs>
          <w:tab w:leader="none" w:pos="1100" w:val="left"/>
        </w:tabs>
        <w:numPr>
          <w:ilvl w:val="0"/>
          <w:numId w:val="26"/>
        </w:numPr>
        <w:rPr>
          <w:rFonts w:ascii="MS PGothic" w:cs="MS PGothic" w:eastAsia="MS PGothic" w:hAnsi="MS PGothic"/>
          <w:sz w:val="15"/>
          <w:szCs w:val="15"/>
          <w:color w:val="1A475F"/>
        </w:rPr>
      </w:pPr>
      <w:r>
        <w:rPr>
          <w:rFonts w:ascii="Arial" w:cs="Arial" w:eastAsia="Arial" w:hAnsi="Arial"/>
          <w:sz w:val="15"/>
          <w:szCs w:val="15"/>
          <w:color w:val="1A475F"/>
        </w:rPr>
        <w:t>Broad Board Composition and •   It is the policy of our Board that directors have business expertise and experience relevant to our</w:t>
      </w:r>
    </w:p>
    <w:p>
      <w:pPr>
        <w:spacing w:after="0" w:line="2" w:lineRule="exact"/>
        <w:rPr>
          <w:sz w:val="20"/>
          <w:szCs w:val="20"/>
          <w:color w:val="auto"/>
        </w:rPr>
      </w:pPr>
    </w:p>
    <w:tbl>
      <w:tblPr>
        <w:tblLayout w:type="fixed"/>
        <w:tblInd w:w="900" w:type="dxa"/>
        <w:tblCellMar>
          <w:top w:w="0" w:type="dxa"/>
          <w:left w:w="0" w:type="dxa"/>
          <w:bottom w:w="0" w:type="dxa"/>
          <w:right w:w="0" w:type="dxa"/>
        </w:tblCellMar>
      </w:tblPr>
      <w:tr>
        <w:trPr>
          <w:trHeight w:val="172"/>
        </w:trPr>
        <w:tc>
          <w:tcPr>
            <w:tcW w:w="2260" w:type="dxa"/>
            <w:vAlign w:val="bottom"/>
          </w:tcPr>
          <w:p>
            <w:pPr>
              <w:ind w:left="200"/>
              <w:spacing w:after="0"/>
              <w:rPr>
                <w:sz w:val="20"/>
                <w:szCs w:val="20"/>
                <w:color w:val="auto"/>
              </w:rPr>
            </w:pPr>
            <w:r>
              <w:rPr>
                <w:rFonts w:ascii="Arial" w:cs="Arial" w:eastAsia="Arial" w:hAnsi="Arial"/>
                <w:sz w:val="15"/>
                <w:szCs w:val="15"/>
                <w:color w:val="1A475F"/>
              </w:rPr>
              <w:t>Skills:</w:t>
            </w:r>
          </w:p>
        </w:tc>
        <w:tc>
          <w:tcPr>
            <w:tcW w:w="7180" w:type="dxa"/>
            <w:vAlign w:val="bottom"/>
          </w:tcPr>
          <w:p>
            <w:pPr>
              <w:ind w:left="400"/>
              <w:spacing w:after="0"/>
              <w:rPr>
                <w:sz w:val="20"/>
                <w:szCs w:val="20"/>
                <w:color w:val="auto"/>
              </w:rPr>
            </w:pPr>
            <w:r>
              <w:rPr>
                <w:rFonts w:ascii="Arial" w:cs="Arial" w:eastAsia="Arial" w:hAnsi="Arial"/>
                <w:sz w:val="15"/>
                <w:szCs w:val="15"/>
                <w:color w:val="1A475F"/>
              </w:rPr>
              <w:t>business, reflect a range of skills and backgrounds and possess the highest personal and</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7180" w:type="dxa"/>
            <w:vAlign w:val="bottom"/>
          </w:tcPr>
          <w:p>
            <w:pPr>
              <w:ind w:left="400"/>
              <w:spacing w:after="0"/>
              <w:rPr>
                <w:sz w:val="20"/>
                <w:szCs w:val="20"/>
                <w:color w:val="auto"/>
              </w:rPr>
            </w:pPr>
            <w:r>
              <w:rPr>
                <w:rFonts w:ascii="Arial" w:cs="Arial" w:eastAsia="Arial" w:hAnsi="Arial"/>
                <w:sz w:val="15"/>
                <w:szCs w:val="15"/>
                <w:color w:val="1A475F"/>
              </w:rPr>
              <w:t>professional ethics, integrity and values, and be committed to representing the long-term interests</w:t>
            </w: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7180" w:type="dxa"/>
            <w:vAlign w:val="bottom"/>
          </w:tcPr>
          <w:p>
            <w:pPr>
              <w:ind w:left="400"/>
              <w:spacing w:after="0"/>
              <w:rPr>
                <w:sz w:val="20"/>
                <w:szCs w:val="20"/>
                <w:color w:val="auto"/>
              </w:rPr>
            </w:pPr>
            <w:r>
              <w:rPr>
                <w:rFonts w:ascii="Arial" w:cs="Arial" w:eastAsia="Arial" w:hAnsi="Arial"/>
                <w:sz w:val="15"/>
                <w:szCs w:val="15"/>
                <w:color w:val="1A475F"/>
              </w:rPr>
              <w:t>of the Company’s shareholders.</w:t>
            </w:r>
          </w:p>
        </w:tc>
        <w:tc>
          <w:tcPr>
            <w:tcW w:w="0" w:type="dxa"/>
            <w:vAlign w:val="bottom"/>
          </w:tcPr>
          <w:p>
            <w:pPr>
              <w:spacing w:after="0"/>
              <w:rPr>
                <w:sz w:val="1"/>
                <w:szCs w:val="1"/>
                <w:color w:val="auto"/>
              </w:rPr>
            </w:pPr>
          </w:p>
        </w:tc>
      </w:tr>
      <w:tr>
        <w:trPr>
          <w:trHeight w:val="232"/>
        </w:trPr>
        <w:tc>
          <w:tcPr>
            <w:tcW w:w="2260" w:type="dxa"/>
            <w:vAlign w:val="bottom"/>
            <w:vMerge w:val="restart"/>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Off-Season Shareholder</w:t>
            </w:r>
          </w:p>
        </w:tc>
        <w:tc>
          <w:tcPr>
            <w:tcW w:w="7180" w:type="dxa"/>
            <w:vAlign w:val="bottom"/>
          </w:tcPr>
          <w:p>
            <w:pPr>
              <w:ind w:left="120"/>
              <w:spacing w:after="0"/>
              <w:rPr>
                <w:sz w:val="20"/>
                <w:szCs w:val="20"/>
                <w:color w:val="auto"/>
              </w:rPr>
            </w:pPr>
            <w:r>
              <w:rPr>
                <w:rFonts w:ascii="Arial" w:cs="Arial" w:eastAsia="Arial" w:hAnsi="Arial"/>
                <w:sz w:val="15"/>
                <w:szCs w:val="15"/>
                <w:color w:val="1A475F"/>
              </w:rPr>
              <w:t>•   We publish a Board Skills Matrix in this Proxy Statement.</w:t>
            </w:r>
          </w:p>
        </w:tc>
        <w:tc>
          <w:tcPr>
            <w:tcW w:w="0" w:type="dxa"/>
            <w:vAlign w:val="bottom"/>
          </w:tcPr>
          <w:p>
            <w:pPr>
              <w:spacing w:after="0"/>
              <w:rPr>
                <w:sz w:val="1"/>
                <w:szCs w:val="1"/>
                <w:color w:val="auto"/>
              </w:rPr>
            </w:pPr>
          </w:p>
        </w:tc>
      </w:tr>
      <w:tr>
        <w:trPr>
          <w:trHeight w:val="192"/>
        </w:trPr>
        <w:tc>
          <w:tcPr>
            <w:tcW w:w="2260" w:type="dxa"/>
            <w:vAlign w:val="bottom"/>
            <w:vMerge w:val="continue"/>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1A475F"/>
              </w:rPr>
              <w:t>•   We periodically conduct off-season shareholder engagement to elicit direct feedback and gain</w:t>
            </w:r>
          </w:p>
        </w:tc>
        <w:tc>
          <w:tcPr>
            <w:tcW w:w="0" w:type="dxa"/>
            <w:vAlign w:val="bottom"/>
          </w:tcPr>
          <w:p>
            <w:pPr>
              <w:spacing w:after="0"/>
              <w:rPr>
                <w:sz w:val="1"/>
                <w:szCs w:val="1"/>
                <w:color w:val="auto"/>
              </w:rPr>
            </w:pPr>
          </w:p>
        </w:tc>
      </w:tr>
      <w:tr>
        <w:trPr>
          <w:trHeight w:val="174"/>
        </w:trPr>
        <w:tc>
          <w:tcPr>
            <w:tcW w:w="2260" w:type="dxa"/>
            <w:vAlign w:val="bottom"/>
          </w:tcPr>
          <w:p>
            <w:pPr>
              <w:ind w:left="200"/>
              <w:spacing w:after="0"/>
              <w:rPr>
                <w:sz w:val="20"/>
                <w:szCs w:val="20"/>
                <w:color w:val="auto"/>
              </w:rPr>
            </w:pPr>
            <w:r>
              <w:rPr>
                <w:rFonts w:ascii="Arial" w:cs="Arial" w:eastAsia="Arial" w:hAnsi="Arial"/>
                <w:sz w:val="15"/>
                <w:szCs w:val="15"/>
                <w:color w:val="1A475F"/>
              </w:rPr>
              <w:t>Engagement:</w:t>
            </w:r>
          </w:p>
        </w:tc>
        <w:tc>
          <w:tcPr>
            <w:tcW w:w="7180" w:type="dxa"/>
            <w:vAlign w:val="bottom"/>
          </w:tcPr>
          <w:p>
            <w:pPr>
              <w:ind w:left="400"/>
              <w:spacing w:after="0"/>
              <w:rPr>
                <w:sz w:val="20"/>
                <w:szCs w:val="20"/>
                <w:color w:val="auto"/>
              </w:rPr>
            </w:pPr>
            <w:r>
              <w:rPr>
                <w:rFonts w:ascii="Arial" w:cs="Arial" w:eastAsia="Arial" w:hAnsi="Arial"/>
                <w:sz w:val="15"/>
                <w:szCs w:val="15"/>
                <w:color w:val="1A475F"/>
              </w:rPr>
              <w:t>insight from our shareholders on areas of interest including corporate governance, corporate</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7180" w:type="dxa"/>
            <w:vAlign w:val="bottom"/>
          </w:tcPr>
          <w:p>
            <w:pPr>
              <w:ind w:left="400"/>
              <w:spacing w:after="0"/>
              <w:rPr>
                <w:sz w:val="20"/>
                <w:szCs w:val="20"/>
                <w:color w:val="auto"/>
              </w:rPr>
            </w:pPr>
            <w:r>
              <w:rPr>
                <w:rFonts w:ascii="Arial" w:cs="Arial" w:eastAsia="Arial" w:hAnsi="Arial"/>
                <w:sz w:val="15"/>
                <w:szCs w:val="15"/>
                <w:color w:val="1A475F"/>
              </w:rPr>
              <w:t>responsibility and executive compensation, as further described below under the heading</w:t>
            </w:r>
          </w:p>
        </w:tc>
        <w:tc>
          <w:tcPr>
            <w:tcW w:w="0" w:type="dxa"/>
            <w:vAlign w:val="bottom"/>
          </w:tcPr>
          <w:p>
            <w:pPr>
              <w:spacing w:after="0"/>
              <w:rPr>
                <w:sz w:val="1"/>
                <w:szCs w:val="1"/>
                <w:color w:val="auto"/>
              </w:rPr>
            </w:pPr>
          </w:p>
        </w:tc>
      </w:tr>
      <w:tr>
        <w:trPr>
          <w:trHeight w:val="202"/>
        </w:trPr>
        <w:tc>
          <w:tcPr>
            <w:tcW w:w="2260" w:type="dxa"/>
            <w:vAlign w:val="bottom"/>
            <w:vMerge w:val="restart"/>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Independent Board:</w:t>
            </w:r>
          </w:p>
        </w:tc>
        <w:tc>
          <w:tcPr>
            <w:tcW w:w="7180" w:type="dxa"/>
            <w:vAlign w:val="bottom"/>
          </w:tcPr>
          <w:p>
            <w:pPr>
              <w:ind w:left="400"/>
              <w:spacing w:after="0"/>
              <w:rPr>
                <w:sz w:val="20"/>
                <w:szCs w:val="20"/>
                <w:color w:val="auto"/>
              </w:rPr>
            </w:pPr>
            <w:r>
              <w:rPr>
                <w:rFonts w:ascii="Arial" w:cs="Arial" w:eastAsia="Arial" w:hAnsi="Arial"/>
                <w:sz w:val="15"/>
                <w:szCs w:val="15"/>
                <w:color w:val="1A475F"/>
              </w:rPr>
              <w:t>“Shareholder Engagement.”</w:t>
            </w:r>
          </w:p>
        </w:tc>
        <w:tc>
          <w:tcPr>
            <w:tcW w:w="0" w:type="dxa"/>
            <w:vAlign w:val="bottom"/>
          </w:tcPr>
          <w:p>
            <w:pPr>
              <w:spacing w:after="0"/>
              <w:rPr>
                <w:sz w:val="1"/>
                <w:szCs w:val="1"/>
                <w:color w:val="auto"/>
              </w:rPr>
            </w:pPr>
          </w:p>
        </w:tc>
      </w:tr>
      <w:tr>
        <w:trPr>
          <w:trHeight w:val="192"/>
        </w:trPr>
        <w:tc>
          <w:tcPr>
            <w:tcW w:w="2260" w:type="dxa"/>
            <w:vAlign w:val="bottom"/>
            <w:vMerge w:val="continue"/>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1A475F"/>
              </w:rPr>
              <w:t>•   All directors, other than our Chief Executive Officer, are independent under NYSE Rules and all</w:t>
            </w:r>
          </w:p>
        </w:tc>
        <w:tc>
          <w:tcPr>
            <w:tcW w:w="0" w:type="dxa"/>
            <w:vAlign w:val="bottom"/>
          </w:tcPr>
          <w:p>
            <w:pPr>
              <w:spacing w:after="0"/>
              <w:rPr>
                <w:sz w:val="1"/>
                <w:szCs w:val="1"/>
                <w:color w:val="auto"/>
              </w:rPr>
            </w:pPr>
          </w:p>
        </w:tc>
      </w:tr>
      <w:tr>
        <w:trPr>
          <w:trHeight w:val="202"/>
        </w:trPr>
        <w:tc>
          <w:tcPr>
            <w:tcW w:w="2260" w:type="dxa"/>
            <w:vAlign w:val="bottom"/>
            <w:vMerge w:val="restart"/>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Peer Reviews and Individual</w:t>
            </w:r>
          </w:p>
        </w:tc>
        <w:tc>
          <w:tcPr>
            <w:tcW w:w="7180" w:type="dxa"/>
            <w:vAlign w:val="bottom"/>
          </w:tcPr>
          <w:p>
            <w:pPr>
              <w:ind w:left="400"/>
              <w:spacing w:after="0"/>
              <w:rPr>
                <w:sz w:val="20"/>
                <w:szCs w:val="20"/>
                <w:color w:val="auto"/>
              </w:rPr>
            </w:pPr>
            <w:r>
              <w:rPr>
                <w:rFonts w:ascii="Arial" w:cs="Arial" w:eastAsia="Arial" w:hAnsi="Arial"/>
                <w:sz w:val="15"/>
                <w:szCs w:val="15"/>
                <w:color w:val="1A475F"/>
              </w:rPr>
              <w:t>committees are comprised solely of independent directors.</w:t>
            </w:r>
          </w:p>
        </w:tc>
        <w:tc>
          <w:tcPr>
            <w:tcW w:w="0" w:type="dxa"/>
            <w:vAlign w:val="bottom"/>
          </w:tcPr>
          <w:p>
            <w:pPr>
              <w:spacing w:after="0"/>
              <w:rPr>
                <w:sz w:val="1"/>
                <w:szCs w:val="1"/>
                <w:color w:val="auto"/>
              </w:rPr>
            </w:pPr>
          </w:p>
        </w:tc>
      </w:tr>
      <w:tr>
        <w:trPr>
          <w:trHeight w:val="192"/>
        </w:trPr>
        <w:tc>
          <w:tcPr>
            <w:tcW w:w="2260" w:type="dxa"/>
            <w:vAlign w:val="bottom"/>
            <w:vMerge w:val="continue"/>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1A475F"/>
              </w:rPr>
              <w:t>•   The Board conducts a peer review and individual assessment of each director annually to enhance</w:t>
            </w:r>
          </w:p>
        </w:tc>
        <w:tc>
          <w:tcPr>
            <w:tcW w:w="0" w:type="dxa"/>
            <w:vAlign w:val="bottom"/>
          </w:tcPr>
          <w:p>
            <w:pPr>
              <w:spacing w:after="0"/>
              <w:rPr>
                <w:sz w:val="1"/>
                <w:szCs w:val="1"/>
                <w:color w:val="auto"/>
              </w:rPr>
            </w:pPr>
          </w:p>
        </w:tc>
      </w:tr>
      <w:tr>
        <w:trPr>
          <w:trHeight w:val="184"/>
        </w:trPr>
        <w:tc>
          <w:tcPr>
            <w:tcW w:w="2260" w:type="dxa"/>
            <w:vAlign w:val="bottom"/>
          </w:tcPr>
          <w:p>
            <w:pPr>
              <w:ind w:left="200"/>
              <w:spacing w:after="0"/>
              <w:rPr>
                <w:sz w:val="20"/>
                <w:szCs w:val="20"/>
                <w:color w:val="auto"/>
              </w:rPr>
            </w:pPr>
            <w:r>
              <w:rPr>
                <w:rFonts w:ascii="Arial" w:cs="Arial" w:eastAsia="Arial" w:hAnsi="Arial"/>
                <w:sz w:val="15"/>
                <w:szCs w:val="15"/>
                <w:color w:val="1A475F"/>
              </w:rPr>
              <w:t>Director Self-Assessments:</w:t>
            </w:r>
          </w:p>
        </w:tc>
        <w:tc>
          <w:tcPr>
            <w:tcW w:w="7180" w:type="dxa"/>
            <w:vAlign w:val="bottom"/>
          </w:tcPr>
          <w:p>
            <w:pPr>
              <w:ind w:left="400"/>
              <w:spacing w:after="0"/>
              <w:rPr>
                <w:sz w:val="20"/>
                <w:szCs w:val="20"/>
                <w:color w:val="auto"/>
              </w:rPr>
            </w:pPr>
            <w:r>
              <w:rPr>
                <w:rFonts w:ascii="Arial" w:cs="Arial" w:eastAsia="Arial" w:hAnsi="Arial"/>
                <w:sz w:val="15"/>
                <w:szCs w:val="15"/>
                <w:color w:val="1A475F"/>
              </w:rPr>
              <w:t>director development and Board/committee leadership planning.</w:t>
            </w:r>
          </w:p>
        </w:tc>
        <w:tc>
          <w:tcPr>
            <w:tcW w:w="0" w:type="dxa"/>
            <w:vAlign w:val="bottom"/>
          </w:tcPr>
          <w:p>
            <w:pPr>
              <w:spacing w:after="0"/>
              <w:rPr>
                <w:sz w:val="1"/>
                <w:szCs w:val="1"/>
                <w:color w:val="auto"/>
              </w:rPr>
            </w:pPr>
          </w:p>
        </w:tc>
      </w:tr>
      <w:tr>
        <w:trPr>
          <w:trHeight w:val="209"/>
        </w:trPr>
        <w:tc>
          <w:tcPr>
            <w:tcW w:w="2260" w:type="dxa"/>
            <w:vAlign w:val="bottom"/>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Robust Self-Evaluation</w:t>
            </w:r>
          </w:p>
        </w:tc>
        <w:tc>
          <w:tcPr>
            <w:tcW w:w="7180" w:type="dxa"/>
            <w:vAlign w:val="bottom"/>
          </w:tcPr>
          <w:p>
            <w:pPr>
              <w:ind w:left="120"/>
              <w:spacing w:after="0"/>
              <w:rPr>
                <w:sz w:val="20"/>
                <w:szCs w:val="20"/>
                <w:color w:val="auto"/>
              </w:rPr>
            </w:pPr>
            <w:r>
              <w:rPr>
                <w:rFonts w:ascii="Arial" w:cs="Arial" w:eastAsia="Arial" w:hAnsi="Arial"/>
                <w:sz w:val="15"/>
                <w:szCs w:val="15"/>
                <w:color w:val="1A475F"/>
              </w:rPr>
              <w:t>•   The Board and each committee conduct annual self-assessments.</w:t>
            </w:r>
          </w:p>
        </w:tc>
        <w:tc>
          <w:tcPr>
            <w:tcW w:w="0" w:type="dxa"/>
            <w:vAlign w:val="bottom"/>
          </w:tcPr>
          <w:p>
            <w:pPr>
              <w:spacing w:after="0"/>
              <w:rPr>
                <w:sz w:val="1"/>
                <w:szCs w:val="1"/>
                <w:color w:val="auto"/>
              </w:rPr>
            </w:pPr>
          </w:p>
        </w:tc>
      </w:tr>
      <w:tr>
        <w:trPr>
          <w:trHeight w:val="184"/>
        </w:trPr>
        <w:tc>
          <w:tcPr>
            <w:tcW w:w="2260" w:type="dxa"/>
            <w:vAlign w:val="bottom"/>
          </w:tcPr>
          <w:p>
            <w:pPr>
              <w:ind w:left="200"/>
              <w:spacing w:after="0"/>
              <w:rPr>
                <w:sz w:val="20"/>
                <w:szCs w:val="20"/>
                <w:color w:val="auto"/>
              </w:rPr>
            </w:pPr>
            <w:r>
              <w:rPr>
                <w:rFonts w:ascii="Arial" w:cs="Arial" w:eastAsia="Arial" w:hAnsi="Arial"/>
                <w:sz w:val="15"/>
                <w:szCs w:val="15"/>
                <w:color w:val="1A475F"/>
              </w:rPr>
              <w:t>Process:</w:t>
            </w:r>
          </w:p>
        </w:tc>
        <w:tc>
          <w:tcPr>
            <w:tcW w:w="7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Strong Stock Ownership</w:t>
            </w:r>
          </w:p>
        </w:tc>
        <w:tc>
          <w:tcPr>
            <w:tcW w:w="7180" w:type="dxa"/>
            <w:vAlign w:val="bottom"/>
          </w:tcPr>
          <w:p>
            <w:pPr>
              <w:ind w:left="120"/>
              <w:spacing w:after="0"/>
              <w:rPr>
                <w:sz w:val="20"/>
                <w:szCs w:val="20"/>
                <w:color w:val="auto"/>
              </w:rPr>
            </w:pPr>
            <w:r>
              <w:rPr>
                <w:rFonts w:ascii="Arial" w:cs="Arial" w:eastAsia="Arial" w:hAnsi="Arial"/>
                <w:sz w:val="15"/>
                <w:szCs w:val="15"/>
                <w:color w:val="1A475F"/>
              </w:rPr>
              <w:t>•   We have stock ownership requirements for non-employee directors (5x annual cash retainer), our</w:t>
            </w:r>
          </w:p>
        </w:tc>
        <w:tc>
          <w:tcPr>
            <w:tcW w:w="0" w:type="dxa"/>
            <w:vAlign w:val="bottom"/>
          </w:tcPr>
          <w:p>
            <w:pPr>
              <w:spacing w:after="0"/>
              <w:rPr>
                <w:sz w:val="1"/>
                <w:szCs w:val="1"/>
                <w:color w:val="auto"/>
              </w:rPr>
            </w:pPr>
          </w:p>
        </w:tc>
      </w:tr>
      <w:tr>
        <w:trPr>
          <w:trHeight w:val="174"/>
        </w:trPr>
        <w:tc>
          <w:tcPr>
            <w:tcW w:w="2260" w:type="dxa"/>
            <w:vAlign w:val="bottom"/>
          </w:tcPr>
          <w:p>
            <w:pPr>
              <w:ind w:left="200"/>
              <w:spacing w:after="0"/>
              <w:rPr>
                <w:sz w:val="20"/>
                <w:szCs w:val="20"/>
                <w:color w:val="auto"/>
              </w:rPr>
            </w:pPr>
            <w:r>
              <w:rPr>
                <w:rFonts w:ascii="Arial" w:cs="Arial" w:eastAsia="Arial" w:hAnsi="Arial"/>
                <w:sz w:val="15"/>
                <w:szCs w:val="15"/>
                <w:color w:val="1A475F"/>
              </w:rPr>
              <w:t>Guidelines:</w:t>
            </w:r>
          </w:p>
        </w:tc>
        <w:tc>
          <w:tcPr>
            <w:tcW w:w="7180" w:type="dxa"/>
            <w:vAlign w:val="bottom"/>
          </w:tcPr>
          <w:p>
            <w:pPr>
              <w:ind w:left="400"/>
              <w:spacing w:after="0"/>
              <w:rPr>
                <w:sz w:val="20"/>
                <w:szCs w:val="20"/>
                <w:color w:val="auto"/>
              </w:rPr>
            </w:pPr>
            <w:r>
              <w:rPr>
                <w:rFonts w:ascii="Arial" w:cs="Arial" w:eastAsia="Arial" w:hAnsi="Arial"/>
                <w:sz w:val="15"/>
                <w:szCs w:val="15"/>
                <w:color w:val="1A475F"/>
              </w:rPr>
              <w:t>Chief Executive Officer (5x annual salary) and our other named executive officers (3x annual</w:t>
            </w:r>
          </w:p>
        </w:tc>
        <w:tc>
          <w:tcPr>
            <w:tcW w:w="0" w:type="dxa"/>
            <w:vAlign w:val="bottom"/>
          </w:tcPr>
          <w:p>
            <w:pPr>
              <w:spacing w:after="0"/>
              <w:rPr>
                <w:sz w:val="1"/>
                <w:szCs w:val="1"/>
                <w:color w:val="auto"/>
              </w:rPr>
            </w:pPr>
          </w:p>
        </w:tc>
      </w:tr>
      <w:tr>
        <w:trPr>
          <w:trHeight w:val="202"/>
        </w:trPr>
        <w:tc>
          <w:tcPr>
            <w:tcW w:w="2260" w:type="dxa"/>
            <w:vAlign w:val="bottom"/>
            <w:vMerge w:val="restart"/>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No Hedging and Pledging</w:t>
            </w:r>
          </w:p>
        </w:tc>
        <w:tc>
          <w:tcPr>
            <w:tcW w:w="7180" w:type="dxa"/>
            <w:vAlign w:val="bottom"/>
          </w:tcPr>
          <w:p>
            <w:pPr>
              <w:ind w:left="400"/>
              <w:spacing w:after="0"/>
              <w:rPr>
                <w:sz w:val="20"/>
                <w:szCs w:val="20"/>
                <w:color w:val="auto"/>
              </w:rPr>
            </w:pPr>
            <w:r>
              <w:rPr>
                <w:rFonts w:ascii="Arial" w:cs="Arial" w:eastAsia="Arial" w:hAnsi="Arial"/>
                <w:sz w:val="15"/>
                <w:szCs w:val="15"/>
                <w:color w:val="1A475F"/>
              </w:rPr>
              <w:t>salary).</w:t>
            </w:r>
          </w:p>
        </w:tc>
        <w:tc>
          <w:tcPr>
            <w:tcW w:w="0" w:type="dxa"/>
            <w:vAlign w:val="bottom"/>
          </w:tcPr>
          <w:p>
            <w:pPr>
              <w:spacing w:after="0"/>
              <w:rPr>
                <w:sz w:val="1"/>
                <w:szCs w:val="1"/>
                <w:color w:val="auto"/>
              </w:rPr>
            </w:pPr>
          </w:p>
        </w:tc>
      </w:tr>
      <w:tr>
        <w:trPr>
          <w:trHeight w:val="192"/>
        </w:trPr>
        <w:tc>
          <w:tcPr>
            <w:tcW w:w="2260" w:type="dxa"/>
            <w:vAlign w:val="bottom"/>
            <w:vMerge w:val="continue"/>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1A475F"/>
              </w:rPr>
              <w:t>•   All directors, executive officers and employees are subject to the anti-pledging and anti-hedging</w:t>
            </w:r>
          </w:p>
        </w:tc>
        <w:tc>
          <w:tcPr>
            <w:tcW w:w="0" w:type="dxa"/>
            <w:vAlign w:val="bottom"/>
          </w:tcPr>
          <w:p>
            <w:pPr>
              <w:spacing w:after="0"/>
              <w:rPr>
                <w:sz w:val="1"/>
                <w:szCs w:val="1"/>
                <w:color w:val="auto"/>
              </w:rPr>
            </w:pPr>
          </w:p>
        </w:tc>
      </w:tr>
      <w:tr>
        <w:trPr>
          <w:trHeight w:val="174"/>
        </w:trPr>
        <w:tc>
          <w:tcPr>
            <w:tcW w:w="2260" w:type="dxa"/>
            <w:vAlign w:val="bottom"/>
          </w:tcPr>
          <w:p>
            <w:pPr>
              <w:ind w:left="200"/>
              <w:spacing w:after="0"/>
              <w:rPr>
                <w:sz w:val="20"/>
                <w:szCs w:val="20"/>
                <w:color w:val="auto"/>
              </w:rPr>
            </w:pPr>
            <w:r>
              <w:rPr>
                <w:rFonts w:ascii="Arial" w:cs="Arial" w:eastAsia="Arial" w:hAnsi="Arial"/>
                <w:sz w:val="15"/>
                <w:szCs w:val="15"/>
                <w:color w:val="1A475F"/>
              </w:rPr>
              <w:t>Policy:</w:t>
            </w:r>
          </w:p>
        </w:tc>
        <w:tc>
          <w:tcPr>
            <w:tcW w:w="7180" w:type="dxa"/>
            <w:vAlign w:val="bottom"/>
          </w:tcPr>
          <w:p>
            <w:pPr>
              <w:ind w:left="400"/>
              <w:spacing w:after="0"/>
              <w:rPr>
                <w:sz w:val="20"/>
                <w:szCs w:val="20"/>
                <w:color w:val="auto"/>
              </w:rPr>
            </w:pPr>
            <w:r>
              <w:rPr>
                <w:rFonts w:ascii="Arial" w:cs="Arial" w:eastAsia="Arial" w:hAnsi="Arial"/>
                <w:sz w:val="15"/>
                <w:szCs w:val="15"/>
                <w:color w:val="1A475F"/>
              </w:rPr>
              <w:t>provisions under our Amended and Restated Insider Trading Policy, which includes a prohibition on</w:t>
            </w:r>
          </w:p>
        </w:tc>
        <w:tc>
          <w:tcPr>
            <w:tcW w:w="0" w:type="dxa"/>
            <w:vAlign w:val="bottom"/>
          </w:tcPr>
          <w:p>
            <w:pPr>
              <w:spacing w:after="0"/>
              <w:rPr>
                <w:sz w:val="1"/>
                <w:szCs w:val="1"/>
                <w:color w:val="auto"/>
              </w:rPr>
            </w:pPr>
          </w:p>
        </w:tc>
      </w:tr>
      <w:tr>
        <w:trPr>
          <w:trHeight w:val="202"/>
        </w:trPr>
        <w:tc>
          <w:tcPr>
            <w:tcW w:w="2260" w:type="dxa"/>
            <w:vAlign w:val="bottom"/>
            <w:vMerge w:val="restart"/>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Majority Voting:</w:t>
            </w:r>
          </w:p>
        </w:tc>
        <w:tc>
          <w:tcPr>
            <w:tcW w:w="7180" w:type="dxa"/>
            <w:vAlign w:val="bottom"/>
          </w:tcPr>
          <w:p>
            <w:pPr>
              <w:ind w:left="400"/>
              <w:spacing w:after="0"/>
              <w:rPr>
                <w:sz w:val="20"/>
                <w:szCs w:val="20"/>
                <w:color w:val="auto"/>
              </w:rPr>
            </w:pPr>
            <w:r>
              <w:rPr>
                <w:rFonts w:ascii="Arial" w:cs="Arial" w:eastAsia="Arial" w:hAnsi="Arial"/>
                <w:sz w:val="15"/>
                <w:szCs w:val="15"/>
                <w:color w:val="1A475F"/>
              </w:rPr>
              <w:t>pledging by directors, officers and employees.</w:t>
            </w:r>
          </w:p>
        </w:tc>
        <w:tc>
          <w:tcPr>
            <w:tcW w:w="0" w:type="dxa"/>
            <w:vAlign w:val="bottom"/>
          </w:tcPr>
          <w:p>
            <w:pPr>
              <w:spacing w:after="0"/>
              <w:rPr>
                <w:sz w:val="1"/>
                <w:szCs w:val="1"/>
                <w:color w:val="auto"/>
              </w:rPr>
            </w:pPr>
          </w:p>
        </w:tc>
      </w:tr>
      <w:tr>
        <w:trPr>
          <w:trHeight w:val="214"/>
        </w:trPr>
        <w:tc>
          <w:tcPr>
            <w:tcW w:w="2260" w:type="dxa"/>
            <w:vAlign w:val="bottom"/>
            <w:vMerge w:val="continue"/>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1A475F"/>
              </w:rPr>
              <w:t>•   Our Bylaws provide for a majority voting standard in uncontested elections of directors.</w:t>
            </w:r>
          </w:p>
        </w:tc>
        <w:tc>
          <w:tcPr>
            <w:tcW w:w="0" w:type="dxa"/>
            <w:vAlign w:val="bottom"/>
          </w:tcPr>
          <w:p>
            <w:pPr>
              <w:spacing w:after="0"/>
              <w:rPr>
                <w:sz w:val="1"/>
                <w:szCs w:val="1"/>
                <w:color w:val="auto"/>
              </w:rPr>
            </w:pPr>
          </w:p>
        </w:tc>
      </w:tr>
      <w:tr>
        <w:trPr>
          <w:trHeight w:val="209"/>
        </w:trPr>
        <w:tc>
          <w:tcPr>
            <w:tcW w:w="2260" w:type="dxa"/>
            <w:vAlign w:val="bottom"/>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No Overboarding:</w:t>
            </w:r>
          </w:p>
        </w:tc>
        <w:tc>
          <w:tcPr>
            <w:tcW w:w="7180" w:type="dxa"/>
            <w:vAlign w:val="bottom"/>
          </w:tcPr>
          <w:p>
            <w:pPr>
              <w:ind w:left="120"/>
              <w:spacing w:after="0"/>
              <w:rPr>
                <w:sz w:val="20"/>
                <w:szCs w:val="20"/>
                <w:color w:val="auto"/>
              </w:rPr>
            </w:pPr>
            <w:r>
              <w:rPr>
                <w:rFonts w:ascii="Arial" w:cs="Arial" w:eastAsia="Arial" w:hAnsi="Arial"/>
                <w:sz w:val="15"/>
                <w:szCs w:val="15"/>
                <w:color w:val="1A475F"/>
              </w:rPr>
              <w:t>•   All directors, including the Chief Executive Officer, are subject to limits on other public company</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7180" w:type="dxa"/>
            <w:vAlign w:val="bottom"/>
          </w:tcPr>
          <w:p>
            <w:pPr>
              <w:ind w:left="400"/>
              <w:spacing w:after="0"/>
              <w:rPr>
                <w:sz w:val="20"/>
                <w:szCs w:val="20"/>
                <w:color w:val="auto"/>
              </w:rPr>
            </w:pPr>
            <w:r>
              <w:rPr>
                <w:rFonts w:ascii="Arial" w:cs="Arial" w:eastAsia="Arial" w:hAnsi="Arial"/>
                <w:sz w:val="15"/>
                <w:szCs w:val="15"/>
                <w:color w:val="1A475F"/>
              </w:rPr>
              <w:t>board service—our Chief Executive Officer should not serve on more than two public company</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7180" w:type="dxa"/>
            <w:vAlign w:val="bottom"/>
          </w:tcPr>
          <w:p>
            <w:pPr>
              <w:ind w:left="400"/>
              <w:spacing w:after="0"/>
              <w:rPr>
                <w:sz w:val="20"/>
                <w:szCs w:val="20"/>
                <w:color w:val="auto"/>
              </w:rPr>
            </w:pPr>
            <w:r>
              <w:rPr>
                <w:rFonts w:ascii="Arial" w:cs="Arial" w:eastAsia="Arial" w:hAnsi="Arial"/>
                <w:sz w:val="15"/>
                <w:szCs w:val="15"/>
                <w:color w:val="1A475F"/>
              </w:rPr>
              <w:t>boards and directors should not serve on more than four public company boards, in each case,</w:t>
            </w:r>
          </w:p>
        </w:tc>
        <w:tc>
          <w:tcPr>
            <w:tcW w:w="0" w:type="dxa"/>
            <w:vAlign w:val="bottom"/>
          </w:tcPr>
          <w:p>
            <w:pPr>
              <w:spacing w:after="0"/>
              <w:rPr>
                <w:sz w:val="1"/>
                <w:szCs w:val="1"/>
                <w:color w:val="auto"/>
              </w:rPr>
            </w:pPr>
          </w:p>
        </w:tc>
      </w:tr>
      <w:tr>
        <w:trPr>
          <w:trHeight w:val="202"/>
        </w:trPr>
        <w:tc>
          <w:tcPr>
            <w:tcW w:w="2260" w:type="dxa"/>
            <w:vAlign w:val="bottom"/>
            <w:vMerge w:val="restart"/>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Independent Executive</w:t>
            </w:r>
          </w:p>
        </w:tc>
        <w:tc>
          <w:tcPr>
            <w:tcW w:w="7180" w:type="dxa"/>
            <w:vAlign w:val="bottom"/>
          </w:tcPr>
          <w:p>
            <w:pPr>
              <w:ind w:left="400"/>
              <w:spacing w:after="0"/>
              <w:rPr>
                <w:sz w:val="20"/>
                <w:szCs w:val="20"/>
                <w:color w:val="auto"/>
              </w:rPr>
            </w:pPr>
            <w:r>
              <w:rPr>
                <w:rFonts w:ascii="Arial" w:cs="Arial" w:eastAsia="Arial" w:hAnsi="Arial"/>
                <w:sz w:val="15"/>
                <w:szCs w:val="15"/>
                <w:color w:val="1A475F"/>
              </w:rPr>
              <w:t>including our Board.</w:t>
            </w:r>
          </w:p>
        </w:tc>
        <w:tc>
          <w:tcPr>
            <w:tcW w:w="0" w:type="dxa"/>
            <w:vAlign w:val="bottom"/>
          </w:tcPr>
          <w:p>
            <w:pPr>
              <w:spacing w:after="0"/>
              <w:rPr>
                <w:sz w:val="1"/>
                <w:szCs w:val="1"/>
                <w:color w:val="auto"/>
              </w:rPr>
            </w:pPr>
          </w:p>
        </w:tc>
      </w:tr>
      <w:tr>
        <w:trPr>
          <w:trHeight w:val="192"/>
        </w:trPr>
        <w:tc>
          <w:tcPr>
            <w:tcW w:w="2260" w:type="dxa"/>
            <w:vAlign w:val="bottom"/>
            <w:vMerge w:val="continue"/>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1A475F"/>
              </w:rPr>
              <w:t>•   Board and committees hold regular executive sessions of non-employee directors all of whom are</w:t>
            </w:r>
          </w:p>
        </w:tc>
        <w:tc>
          <w:tcPr>
            <w:tcW w:w="0" w:type="dxa"/>
            <w:vAlign w:val="bottom"/>
          </w:tcPr>
          <w:p>
            <w:pPr>
              <w:spacing w:after="0"/>
              <w:rPr>
                <w:sz w:val="1"/>
                <w:szCs w:val="1"/>
                <w:color w:val="auto"/>
              </w:rPr>
            </w:pPr>
          </w:p>
        </w:tc>
      </w:tr>
      <w:tr>
        <w:trPr>
          <w:trHeight w:val="184"/>
        </w:trPr>
        <w:tc>
          <w:tcPr>
            <w:tcW w:w="2260" w:type="dxa"/>
            <w:vAlign w:val="bottom"/>
          </w:tcPr>
          <w:p>
            <w:pPr>
              <w:ind w:left="200"/>
              <w:spacing w:after="0"/>
              <w:rPr>
                <w:sz w:val="20"/>
                <w:szCs w:val="20"/>
                <w:color w:val="auto"/>
              </w:rPr>
            </w:pPr>
            <w:r>
              <w:rPr>
                <w:rFonts w:ascii="Arial" w:cs="Arial" w:eastAsia="Arial" w:hAnsi="Arial"/>
                <w:sz w:val="15"/>
                <w:szCs w:val="15"/>
                <w:color w:val="1A475F"/>
              </w:rPr>
              <w:t>Sessions:</w:t>
            </w:r>
          </w:p>
        </w:tc>
        <w:tc>
          <w:tcPr>
            <w:tcW w:w="7180" w:type="dxa"/>
            <w:vAlign w:val="bottom"/>
          </w:tcPr>
          <w:p>
            <w:pPr>
              <w:ind w:left="400"/>
              <w:spacing w:after="0"/>
              <w:rPr>
                <w:sz w:val="20"/>
                <w:szCs w:val="20"/>
                <w:color w:val="auto"/>
              </w:rPr>
            </w:pPr>
            <w:r>
              <w:rPr>
                <w:rFonts w:ascii="Arial" w:cs="Arial" w:eastAsia="Arial" w:hAnsi="Arial"/>
                <w:sz w:val="15"/>
                <w:szCs w:val="15"/>
                <w:color w:val="1A475F"/>
              </w:rPr>
              <w:t>independent under NYSE Rules.</w:t>
            </w:r>
          </w:p>
        </w:tc>
        <w:tc>
          <w:tcPr>
            <w:tcW w:w="0" w:type="dxa"/>
            <w:vAlign w:val="bottom"/>
          </w:tcPr>
          <w:p>
            <w:pPr>
              <w:spacing w:after="0"/>
              <w:rPr>
                <w:sz w:val="1"/>
                <w:szCs w:val="1"/>
                <w:color w:val="auto"/>
              </w:rPr>
            </w:pPr>
          </w:p>
        </w:tc>
      </w:tr>
      <w:tr>
        <w:trPr>
          <w:trHeight w:val="209"/>
        </w:trPr>
        <w:tc>
          <w:tcPr>
            <w:tcW w:w="2260" w:type="dxa"/>
            <w:vAlign w:val="bottom"/>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Independent Presiding</w:t>
            </w:r>
          </w:p>
        </w:tc>
        <w:tc>
          <w:tcPr>
            <w:tcW w:w="7180" w:type="dxa"/>
            <w:vAlign w:val="bottom"/>
          </w:tcPr>
          <w:p>
            <w:pPr>
              <w:ind w:left="120"/>
              <w:spacing w:after="0"/>
              <w:rPr>
                <w:sz w:val="20"/>
                <w:szCs w:val="20"/>
                <w:color w:val="auto"/>
              </w:rPr>
            </w:pPr>
            <w:r>
              <w:rPr>
                <w:rFonts w:ascii="Arial" w:cs="Arial" w:eastAsia="Arial" w:hAnsi="Arial"/>
                <w:sz w:val="15"/>
                <w:szCs w:val="15"/>
                <w:color w:val="1A475F"/>
              </w:rPr>
              <w:t>•   Executive sessions of independent, non-employee directors are led by an independent Presiding</w:t>
            </w:r>
          </w:p>
        </w:tc>
        <w:tc>
          <w:tcPr>
            <w:tcW w:w="0" w:type="dxa"/>
            <w:vAlign w:val="bottom"/>
          </w:tcPr>
          <w:p>
            <w:pPr>
              <w:spacing w:after="0"/>
              <w:rPr>
                <w:sz w:val="1"/>
                <w:szCs w:val="1"/>
                <w:color w:val="auto"/>
              </w:rPr>
            </w:pPr>
          </w:p>
        </w:tc>
      </w:tr>
      <w:tr>
        <w:trPr>
          <w:trHeight w:val="184"/>
        </w:trPr>
        <w:tc>
          <w:tcPr>
            <w:tcW w:w="2260" w:type="dxa"/>
            <w:vAlign w:val="bottom"/>
          </w:tcPr>
          <w:p>
            <w:pPr>
              <w:ind w:left="200"/>
              <w:spacing w:after="0"/>
              <w:rPr>
                <w:sz w:val="20"/>
                <w:szCs w:val="20"/>
                <w:color w:val="auto"/>
              </w:rPr>
            </w:pPr>
            <w:r>
              <w:rPr>
                <w:rFonts w:ascii="Arial" w:cs="Arial" w:eastAsia="Arial" w:hAnsi="Arial"/>
                <w:sz w:val="15"/>
                <w:szCs w:val="15"/>
                <w:color w:val="1A475F"/>
              </w:rPr>
              <w:t>Director:</w:t>
            </w:r>
          </w:p>
        </w:tc>
        <w:tc>
          <w:tcPr>
            <w:tcW w:w="7180" w:type="dxa"/>
            <w:vAlign w:val="bottom"/>
          </w:tcPr>
          <w:p>
            <w:pPr>
              <w:ind w:left="400"/>
              <w:spacing w:after="0"/>
              <w:rPr>
                <w:sz w:val="20"/>
                <w:szCs w:val="20"/>
                <w:color w:val="auto"/>
              </w:rPr>
            </w:pPr>
            <w:r>
              <w:rPr>
                <w:rFonts w:ascii="Arial" w:cs="Arial" w:eastAsia="Arial" w:hAnsi="Arial"/>
                <w:sz w:val="15"/>
                <w:szCs w:val="15"/>
                <w:color w:val="1A475F"/>
              </w:rPr>
              <w:t>Director who is not the Chair.</w:t>
            </w:r>
          </w:p>
        </w:tc>
        <w:tc>
          <w:tcPr>
            <w:tcW w:w="0" w:type="dxa"/>
            <w:vAlign w:val="bottom"/>
          </w:tcPr>
          <w:p>
            <w:pPr>
              <w:spacing w:after="0"/>
              <w:rPr>
                <w:sz w:val="1"/>
                <w:szCs w:val="1"/>
                <w:color w:val="auto"/>
              </w:rPr>
            </w:pPr>
          </w:p>
        </w:tc>
      </w:tr>
      <w:tr>
        <w:trPr>
          <w:trHeight w:val="209"/>
        </w:trPr>
        <w:tc>
          <w:tcPr>
            <w:tcW w:w="2260" w:type="dxa"/>
            <w:vAlign w:val="bottom"/>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Dedicated Succession</w:t>
            </w:r>
          </w:p>
        </w:tc>
        <w:tc>
          <w:tcPr>
            <w:tcW w:w="7180" w:type="dxa"/>
            <w:vAlign w:val="bottom"/>
          </w:tcPr>
          <w:p>
            <w:pPr>
              <w:ind w:left="120"/>
              <w:spacing w:after="0"/>
              <w:rPr>
                <w:sz w:val="20"/>
                <w:szCs w:val="20"/>
                <w:color w:val="auto"/>
              </w:rPr>
            </w:pPr>
            <w:r>
              <w:rPr>
                <w:rFonts w:ascii="Arial" w:cs="Arial" w:eastAsia="Arial" w:hAnsi="Arial"/>
                <w:sz w:val="15"/>
                <w:szCs w:val="15"/>
                <w:color w:val="1A475F"/>
              </w:rPr>
              <w:t>•   The Board actively monitors our management succession and development plans.</w:t>
            </w:r>
          </w:p>
        </w:tc>
        <w:tc>
          <w:tcPr>
            <w:tcW w:w="0" w:type="dxa"/>
            <w:vAlign w:val="bottom"/>
          </w:tcPr>
          <w:p>
            <w:pPr>
              <w:spacing w:after="0"/>
              <w:rPr>
                <w:sz w:val="1"/>
                <w:szCs w:val="1"/>
                <w:color w:val="auto"/>
              </w:rPr>
            </w:pPr>
          </w:p>
        </w:tc>
      </w:tr>
      <w:tr>
        <w:trPr>
          <w:trHeight w:val="202"/>
        </w:trPr>
        <w:tc>
          <w:tcPr>
            <w:tcW w:w="2260" w:type="dxa"/>
            <w:vAlign w:val="bottom"/>
          </w:tcPr>
          <w:p>
            <w:pPr>
              <w:ind w:left="200"/>
              <w:spacing w:after="0"/>
              <w:rPr>
                <w:sz w:val="20"/>
                <w:szCs w:val="20"/>
                <w:color w:val="auto"/>
              </w:rPr>
            </w:pPr>
            <w:r>
              <w:rPr>
                <w:rFonts w:ascii="Arial" w:cs="Arial" w:eastAsia="Arial" w:hAnsi="Arial"/>
                <w:sz w:val="15"/>
                <w:szCs w:val="15"/>
                <w:color w:val="1A475F"/>
              </w:rPr>
              <w:t>Planning:</w:t>
            </w:r>
          </w:p>
        </w:tc>
        <w:tc>
          <w:tcPr>
            <w:tcW w:w="7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2260" w:type="dxa"/>
            <w:vAlign w:val="bottom"/>
          </w:tcPr>
          <w:p>
            <w:pPr>
              <w:spacing w:after="0"/>
              <w:rPr>
                <w:sz w:val="24"/>
                <w:szCs w:val="24"/>
                <w:color w:val="auto"/>
              </w:rPr>
            </w:pPr>
          </w:p>
        </w:tc>
        <w:tc>
          <w:tcPr>
            <w:tcW w:w="7180" w:type="dxa"/>
            <w:vAlign w:val="bottom"/>
          </w:tcPr>
          <w:p>
            <w:pPr>
              <w:ind w:left="4880"/>
              <w:spacing w:after="0"/>
              <w:rPr>
                <w:sz w:val="20"/>
                <w:szCs w:val="20"/>
                <w:color w:val="auto"/>
              </w:rPr>
            </w:pPr>
            <w:r>
              <w:rPr>
                <w:rFonts w:ascii="Arial" w:cs="Arial" w:eastAsia="Arial" w:hAnsi="Arial"/>
                <w:sz w:val="15"/>
                <w:szCs w:val="15"/>
                <w:b w:val="1"/>
                <w:bCs w:val="1"/>
                <w:color w:val="1A475F"/>
              </w:rPr>
              <w:t>  2026 Proxy Statement   |   17</w:t>
            </w:r>
          </w:p>
        </w:tc>
        <w:tc>
          <w:tcPr>
            <w:tcW w:w="0" w:type="dxa"/>
            <w:vAlign w:val="bottom"/>
          </w:tcPr>
          <w:p>
            <w:pPr>
              <w:spacing w:after="0"/>
              <w:rPr>
                <w:sz w:val="1"/>
                <w:szCs w:val="1"/>
                <w:color w:val="auto"/>
              </w:rPr>
            </w:pPr>
          </w:p>
        </w:tc>
      </w:tr>
    </w:tbl>
    <w:p>
      <w:pPr>
        <w:sectPr>
          <w:pgSz w:w="11900" w:h="16838" w:orient="portrait"/>
          <w:cols w:equalWidth="0" w:num="1">
            <w:col w:w="10340"/>
          </w:cols>
          <w:pgMar w:left="320" w:top="433" w:right="1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ectPr>
          <w:pgSz w:w="11900" w:h="16838" w:orient="portrait"/>
          <w:cols w:equalWidth="0" w:num="1">
            <w:col w:w="10340"/>
          </w:cols>
          <w:pgMar w:left="320" w:top="433" w:right="1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right"/>
        <w:ind w:left="900"/>
        <w:spacing w:after="0" w:line="205"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Separate independent Chair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1"/>
          <w:szCs w:val="11"/>
          <w:color w:val="1A475F"/>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1A475F"/>
        </w:rPr>
        <w:t>Our separate independent Chair and Chief Executive Officer leadership structure aims to maintain segregation between Board oversight and management operating decisions.</w:t>
      </w:r>
    </w:p>
    <w:p>
      <w:pPr>
        <w:spacing w:after="0" w:line="18" w:lineRule="exact"/>
        <w:rPr>
          <w:sz w:val="20"/>
          <w:szCs w:val="20"/>
          <w:color w:val="auto"/>
        </w:rPr>
      </w:pPr>
    </w:p>
    <w:p>
      <w:pPr>
        <w:sectPr>
          <w:pgSz w:w="11900" w:h="16838" w:orient="portrait"/>
          <w:cols w:equalWidth="0" w:num="3">
            <w:col w:w="3040" w:space="240"/>
            <w:col w:w="40" w:space="240"/>
            <w:col w:w="6780"/>
          </w:cols>
          <w:pgMar w:left="320" w:top="433" w:right="1239" w:bottom="1440" w:gutter="0" w:footer="0" w:header="0"/>
          <w:type w:val="continuous"/>
        </w:sectPr>
      </w:pPr>
    </w:p>
    <w:p>
      <w:pPr>
        <w:ind w:left="3560" w:right="160" w:hanging="2659"/>
        <w:spacing w:after="0" w:line="281" w:lineRule="auto"/>
        <w:tabs>
          <w:tab w:leader="none" w:pos="1114" w:val="left"/>
        </w:tabs>
        <w:numPr>
          <w:ilvl w:val="0"/>
          <w:numId w:val="27"/>
        </w:numPr>
        <w:rPr>
          <w:rFonts w:ascii="MS PGothic" w:cs="MS PGothic" w:eastAsia="MS PGothic" w:hAnsi="MS PGothic"/>
          <w:sz w:val="15"/>
          <w:szCs w:val="15"/>
          <w:color w:val="1A475F"/>
        </w:rPr>
      </w:pPr>
      <w:r>
        <w:rPr>
          <w:rFonts w:ascii="Arial" w:cs="Arial" w:eastAsia="Arial" w:hAnsi="Arial"/>
          <w:sz w:val="15"/>
          <w:szCs w:val="15"/>
          <w:color w:val="1A475F"/>
        </w:rPr>
        <w:t>Compensation Best Practices: • We have caps on incentive cash bonuses tied to corporate performance, limits on annual director equity awards and cash fees and minimum vesting requirements.</w:t>
      </w:r>
    </w:p>
    <w:p>
      <w:pPr>
        <w:spacing w:after="0" w:line="1" w:lineRule="exact"/>
        <w:rPr>
          <w:rFonts w:ascii="MS PGothic" w:cs="MS PGothic" w:eastAsia="MS PGothic" w:hAnsi="MS PGothic"/>
          <w:sz w:val="15"/>
          <w:szCs w:val="15"/>
          <w:color w:val="1A475F"/>
        </w:rPr>
      </w:pPr>
    </w:p>
    <w:p>
      <w:pPr>
        <w:ind w:left="3560" w:hanging="286"/>
        <w:spacing w:after="0"/>
        <w:tabs>
          <w:tab w:leader="none" w:pos="3560" w:val="left"/>
        </w:tabs>
        <w:numPr>
          <w:ilvl w:val="1"/>
          <w:numId w:val="27"/>
        </w:numPr>
        <w:rPr>
          <w:rFonts w:ascii="Arial" w:cs="Arial" w:eastAsia="Arial" w:hAnsi="Arial"/>
          <w:sz w:val="15"/>
          <w:szCs w:val="15"/>
          <w:color w:val="1A475F"/>
        </w:rPr>
      </w:pPr>
      <w:r>
        <w:rPr>
          <w:rFonts w:ascii="Arial" w:cs="Arial" w:eastAsia="Arial" w:hAnsi="Arial"/>
          <w:sz w:val="15"/>
          <w:szCs w:val="15"/>
          <w:color w:val="1A475F"/>
        </w:rPr>
        <w:t>Equity awards are tied to performance-based measures.</w:t>
      </w:r>
    </w:p>
    <w:p>
      <w:pPr>
        <w:spacing w:after="0" w:line="59" w:lineRule="exact"/>
        <w:rPr>
          <w:rFonts w:ascii="Arial" w:cs="Arial" w:eastAsia="Arial" w:hAnsi="Arial"/>
          <w:sz w:val="15"/>
          <w:szCs w:val="15"/>
          <w:color w:val="1A475F"/>
        </w:rPr>
      </w:pPr>
    </w:p>
    <w:p>
      <w:pPr>
        <w:ind w:left="3560" w:right="480" w:hanging="286"/>
        <w:spacing w:after="0" w:line="261" w:lineRule="auto"/>
        <w:tabs>
          <w:tab w:leader="none" w:pos="3560" w:val="left"/>
        </w:tabs>
        <w:numPr>
          <w:ilvl w:val="1"/>
          <w:numId w:val="27"/>
        </w:numPr>
        <w:rPr>
          <w:rFonts w:ascii="Arial" w:cs="Arial" w:eastAsia="Arial" w:hAnsi="Arial"/>
          <w:sz w:val="15"/>
          <w:szCs w:val="15"/>
          <w:color w:val="1A475F"/>
        </w:rPr>
      </w:pPr>
      <w:r>
        <w:rPr>
          <w:rFonts w:ascii="Arial" w:cs="Arial" w:eastAsia="Arial" w:hAnsi="Arial"/>
          <w:sz w:val="15"/>
          <w:szCs w:val="15"/>
          <w:color w:val="1A475F"/>
        </w:rPr>
        <w:t>Please see page 32 of this Proxy Statement for more information on our other compensation practices.</w:t>
      </w:r>
    </w:p>
    <w:tbl>
      <w:tblPr>
        <w:tblLayout w:type="fixed"/>
        <w:tblInd w:w="900" w:type="dxa"/>
        <w:tblCellMar>
          <w:top w:w="0" w:type="dxa"/>
          <w:left w:w="0" w:type="dxa"/>
          <w:bottom w:w="0" w:type="dxa"/>
          <w:right w:w="0" w:type="dxa"/>
        </w:tblCellMar>
      </w:tblPr>
      <w:tr>
        <w:trPr>
          <w:trHeight w:val="192"/>
        </w:trPr>
        <w:tc>
          <w:tcPr>
            <w:tcW w:w="1940" w:type="dxa"/>
            <w:vAlign w:val="bottom"/>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Clawback Policy:</w:t>
            </w:r>
          </w:p>
        </w:tc>
        <w:tc>
          <w:tcPr>
            <w:tcW w:w="7500" w:type="dxa"/>
            <w:vAlign w:val="bottom"/>
          </w:tcPr>
          <w:p>
            <w:pPr>
              <w:ind w:left="440"/>
              <w:spacing w:after="0"/>
              <w:rPr>
                <w:sz w:val="20"/>
                <w:szCs w:val="20"/>
                <w:color w:val="auto"/>
              </w:rPr>
            </w:pPr>
            <w:r>
              <w:rPr>
                <w:rFonts w:ascii="Arial" w:cs="Arial" w:eastAsia="Arial" w:hAnsi="Arial"/>
                <w:sz w:val="15"/>
                <w:szCs w:val="15"/>
                <w:color w:val="1A475F"/>
              </w:rPr>
              <w:t>•   We maintain a clawback policy providing for the mandatory recoupment of erroneously awarded</w:t>
            </w: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7500" w:type="dxa"/>
            <w:vAlign w:val="bottom"/>
          </w:tcPr>
          <w:p>
            <w:pPr>
              <w:ind w:left="720"/>
              <w:spacing w:after="0"/>
              <w:rPr>
                <w:sz w:val="20"/>
                <w:szCs w:val="20"/>
                <w:color w:val="auto"/>
              </w:rPr>
            </w:pPr>
            <w:r>
              <w:rPr>
                <w:rFonts w:ascii="Arial" w:cs="Arial" w:eastAsia="Arial" w:hAnsi="Arial"/>
                <w:sz w:val="15"/>
                <w:szCs w:val="15"/>
                <w:color w:val="1A475F"/>
              </w:rPr>
              <w:t>incentive-based compensation received by current and former executive officers in the event of an</w:t>
            </w:r>
          </w:p>
        </w:tc>
        <w:tc>
          <w:tcPr>
            <w:tcW w:w="0" w:type="dxa"/>
            <w:vAlign w:val="bottom"/>
          </w:tcPr>
          <w:p>
            <w:pPr>
              <w:spacing w:after="0"/>
              <w:rPr>
                <w:sz w:val="1"/>
                <w:szCs w:val="1"/>
                <w:color w:val="auto"/>
              </w:rPr>
            </w:pPr>
          </w:p>
        </w:tc>
      </w:tr>
      <w:tr>
        <w:trPr>
          <w:trHeight w:val="202"/>
        </w:trPr>
        <w:tc>
          <w:tcPr>
            <w:tcW w:w="1940" w:type="dxa"/>
            <w:vAlign w:val="bottom"/>
            <w:vMerge w:val="restart"/>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Risk Oversight:</w:t>
            </w:r>
          </w:p>
        </w:tc>
        <w:tc>
          <w:tcPr>
            <w:tcW w:w="7500" w:type="dxa"/>
            <w:vAlign w:val="bottom"/>
          </w:tcPr>
          <w:p>
            <w:pPr>
              <w:ind w:left="720"/>
              <w:spacing w:after="0"/>
              <w:rPr>
                <w:sz w:val="20"/>
                <w:szCs w:val="20"/>
                <w:color w:val="auto"/>
              </w:rPr>
            </w:pPr>
            <w:r>
              <w:rPr>
                <w:rFonts w:ascii="Arial" w:cs="Arial" w:eastAsia="Arial" w:hAnsi="Arial"/>
                <w:sz w:val="15"/>
                <w:szCs w:val="15"/>
                <w:color w:val="1A475F"/>
              </w:rPr>
              <w:t>accounting restatement.</w:t>
            </w:r>
          </w:p>
        </w:tc>
        <w:tc>
          <w:tcPr>
            <w:tcW w:w="0" w:type="dxa"/>
            <w:vAlign w:val="bottom"/>
          </w:tcPr>
          <w:p>
            <w:pPr>
              <w:spacing w:after="0"/>
              <w:rPr>
                <w:sz w:val="1"/>
                <w:szCs w:val="1"/>
                <w:color w:val="auto"/>
              </w:rPr>
            </w:pPr>
          </w:p>
        </w:tc>
      </w:tr>
      <w:tr>
        <w:trPr>
          <w:trHeight w:val="192"/>
        </w:trPr>
        <w:tc>
          <w:tcPr>
            <w:tcW w:w="1940" w:type="dxa"/>
            <w:vAlign w:val="bottom"/>
            <w:vMerge w:val="continue"/>
          </w:tcPr>
          <w:p>
            <w:pPr>
              <w:spacing w:after="0"/>
              <w:rPr>
                <w:sz w:val="16"/>
                <w:szCs w:val="16"/>
                <w:color w:val="auto"/>
              </w:rPr>
            </w:pPr>
          </w:p>
        </w:tc>
        <w:tc>
          <w:tcPr>
            <w:tcW w:w="7500" w:type="dxa"/>
            <w:vAlign w:val="bottom"/>
          </w:tcPr>
          <w:p>
            <w:pPr>
              <w:ind w:left="440"/>
              <w:spacing w:after="0"/>
              <w:rPr>
                <w:sz w:val="20"/>
                <w:szCs w:val="20"/>
                <w:color w:val="auto"/>
              </w:rPr>
            </w:pPr>
            <w:r>
              <w:rPr>
                <w:rFonts w:ascii="Arial" w:cs="Arial" w:eastAsia="Arial" w:hAnsi="Arial"/>
                <w:sz w:val="15"/>
                <w:szCs w:val="15"/>
                <w:color w:val="1A475F"/>
              </w:rPr>
              <w:t>•   Audit Committee approval is required for related person transactions and our Audit Committee</w:t>
            </w:r>
          </w:p>
        </w:tc>
        <w:tc>
          <w:tcPr>
            <w:tcW w:w="0" w:type="dxa"/>
            <w:vAlign w:val="bottom"/>
          </w:tcPr>
          <w:p>
            <w:pPr>
              <w:spacing w:after="0"/>
              <w:rPr>
                <w:sz w:val="1"/>
                <w:szCs w:val="1"/>
                <w:color w:val="auto"/>
              </w:rPr>
            </w:pPr>
          </w:p>
        </w:tc>
      </w:tr>
      <w:tr>
        <w:trPr>
          <w:trHeight w:val="202"/>
        </w:trPr>
        <w:tc>
          <w:tcPr>
            <w:tcW w:w="1940" w:type="dxa"/>
            <w:vAlign w:val="bottom"/>
            <w:vMerge w:val="restart"/>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Director Education:</w:t>
            </w:r>
          </w:p>
        </w:tc>
        <w:tc>
          <w:tcPr>
            <w:tcW w:w="7500" w:type="dxa"/>
            <w:vAlign w:val="bottom"/>
          </w:tcPr>
          <w:p>
            <w:pPr>
              <w:ind w:left="720"/>
              <w:spacing w:after="0"/>
              <w:rPr>
                <w:sz w:val="20"/>
                <w:szCs w:val="20"/>
                <w:color w:val="auto"/>
              </w:rPr>
            </w:pPr>
            <w:r>
              <w:rPr>
                <w:rFonts w:ascii="Arial" w:cs="Arial" w:eastAsia="Arial" w:hAnsi="Arial"/>
                <w:sz w:val="15"/>
                <w:szCs w:val="15"/>
                <w:color w:val="1A475F"/>
              </w:rPr>
              <w:t>oversees our ERM program and cybersecurity risk with regular reports and review by the full Board.</w:t>
            </w:r>
          </w:p>
        </w:tc>
        <w:tc>
          <w:tcPr>
            <w:tcW w:w="0" w:type="dxa"/>
            <w:vAlign w:val="bottom"/>
          </w:tcPr>
          <w:p>
            <w:pPr>
              <w:spacing w:after="0"/>
              <w:rPr>
                <w:sz w:val="1"/>
                <w:szCs w:val="1"/>
                <w:color w:val="auto"/>
              </w:rPr>
            </w:pPr>
          </w:p>
        </w:tc>
      </w:tr>
      <w:tr>
        <w:trPr>
          <w:trHeight w:val="214"/>
        </w:trPr>
        <w:tc>
          <w:tcPr>
            <w:tcW w:w="1940" w:type="dxa"/>
            <w:vAlign w:val="bottom"/>
            <w:vMerge w:val="continue"/>
          </w:tcPr>
          <w:p>
            <w:pPr>
              <w:spacing w:after="0"/>
              <w:rPr>
                <w:sz w:val="18"/>
                <w:szCs w:val="18"/>
                <w:color w:val="auto"/>
              </w:rPr>
            </w:pPr>
          </w:p>
        </w:tc>
        <w:tc>
          <w:tcPr>
            <w:tcW w:w="7500" w:type="dxa"/>
            <w:vAlign w:val="bottom"/>
          </w:tcPr>
          <w:p>
            <w:pPr>
              <w:ind w:left="440"/>
              <w:spacing w:after="0"/>
              <w:rPr>
                <w:sz w:val="20"/>
                <w:szCs w:val="20"/>
                <w:color w:val="auto"/>
              </w:rPr>
            </w:pPr>
            <w:r>
              <w:rPr>
                <w:rFonts w:ascii="Arial" w:cs="Arial" w:eastAsia="Arial" w:hAnsi="Arial"/>
                <w:sz w:val="15"/>
                <w:szCs w:val="15"/>
                <w:color w:val="1A475F"/>
              </w:rPr>
              <w:t>•   We have a Board orientation and continuing education program that is available to all directors.</w:t>
            </w:r>
          </w:p>
        </w:tc>
        <w:tc>
          <w:tcPr>
            <w:tcW w:w="0" w:type="dxa"/>
            <w:vAlign w:val="bottom"/>
          </w:tcPr>
          <w:p>
            <w:pPr>
              <w:spacing w:after="0"/>
              <w:rPr>
                <w:sz w:val="1"/>
                <w:szCs w:val="1"/>
                <w:color w:val="auto"/>
              </w:rPr>
            </w:pPr>
          </w:p>
        </w:tc>
      </w:tr>
      <w:tr>
        <w:trPr>
          <w:trHeight w:val="259"/>
        </w:trPr>
        <w:tc>
          <w:tcPr>
            <w:tcW w:w="1940" w:type="dxa"/>
            <w:vAlign w:val="bottom"/>
          </w:tcPr>
          <w:p>
            <w:pPr>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No Poison Pill:</w:t>
            </w:r>
          </w:p>
        </w:tc>
        <w:tc>
          <w:tcPr>
            <w:tcW w:w="7500" w:type="dxa"/>
            <w:vAlign w:val="bottom"/>
          </w:tcPr>
          <w:p>
            <w:pPr>
              <w:ind w:left="440"/>
              <w:spacing w:after="0"/>
              <w:rPr>
                <w:sz w:val="20"/>
                <w:szCs w:val="20"/>
                <w:color w:val="auto"/>
              </w:rPr>
            </w:pPr>
            <w:r>
              <w:rPr>
                <w:rFonts w:ascii="Arial" w:cs="Arial" w:eastAsia="Arial" w:hAnsi="Arial"/>
                <w:sz w:val="15"/>
                <w:szCs w:val="15"/>
                <w:color w:val="1A475F"/>
              </w:rPr>
              <w:t>•   We do not have a shareholder rights plan in place.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117475</wp:posOffset>
            </wp:positionV>
            <wp:extent cx="5997575" cy="161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97575" cy="16192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Shareholder Engagement</w:t>
      </w:r>
    </w:p>
    <w:p>
      <w:pPr>
        <w:spacing w:after="0" w:line="119" w:lineRule="exact"/>
        <w:rPr>
          <w:sz w:val="20"/>
          <w:szCs w:val="20"/>
          <w:color w:val="auto"/>
        </w:rPr>
      </w:pPr>
    </w:p>
    <w:p>
      <w:pPr>
        <w:jc w:val="both"/>
        <w:ind w:left="900" w:firstLine="756"/>
        <w:spacing w:after="0" w:line="255" w:lineRule="auto"/>
        <w:rPr>
          <w:sz w:val="20"/>
          <w:szCs w:val="20"/>
          <w:color w:val="auto"/>
        </w:rPr>
      </w:pPr>
      <w:r>
        <w:rPr>
          <w:rFonts w:ascii="Arial" w:cs="Arial" w:eastAsia="Arial" w:hAnsi="Arial"/>
          <w:sz w:val="15"/>
          <w:szCs w:val="15"/>
          <w:color w:val="1A475F"/>
        </w:rPr>
        <w:t>Our Board and management team greatly value the opinions and feedback of our shareholders and are committed to engaging with, and listening to, our shareholders. We periodically undertake off-season shareholder engagement focusing on a range of topics. This engagement is in addition to routine and ongoing dialogue among our shareholders and our Chief Executive Officer, Chief Financial Officer and Investor Relations team regarding our financial and operational performance.</w:t>
      </w:r>
    </w:p>
    <w:p>
      <w:pPr>
        <w:spacing w:after="0" w:line="54" w:lineRule="exact"/>
        <w:rPr>
          <w:sz w:val="20"/>
          <w:szCs w:val="20"/>
          <w:color w:val="auto"/>
        </w:rPr>
      </w:pPr>
    </w:p>
    <w:p>
      <w:pPr>
        <w:jc w:val="both"/>
        <w:ind w:left="900" w:right="380" w:firstLine="756"/>
        <w:spacing w:after="0" w:line="282" w:lineRule="auto"/>
        <w:rPr>
          <w:sz w:val="20"/>
          <w:szCs w:val="20"/>
          <w:color w:val="auto"/>
        </w:rPr>
      </w:pPr>
      <w:r>
        <w:rPr>
          <w:rFonts w:ascii="Arial" w:cs="Arial" w:eastAsia="Arial" w:hAnsi="Arial"/>
          <w:sz w:val="15"/>
          <w:szCs w:val="15"/>
          <w:color w:val="1A475F"/>
        </w:rPr>
        <w:t>When meeting with shareholders, participants from Bright Horizons may vary per call and may include the Chief Financial Officer, members of Investor Relations and Legal, and for certain calls, the Chief Executive Officer or an independent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104775</wp:posOffset>
            </wp:positionV>
            <wp:extent cx="2697480" cy="4260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97480" cy="42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This off-season we engaged with shareholders on the following topics:</w:t>
      </w:r>
    </w:p>
    <w:p>
      <w:pPr>
        <w:spacing w:after="0" w:line="210" w:lineRule="exact"/>
        <w:rPr>
          <w:sz w:val="20"/>
          <w:szCs w:val="20"/>
          <w:color w:val="auto"/>
        </w:rPr>
      </w:pPr>
    </w:p>
    <w:tbl>
      <w:tblPr>
        <w:tblLayout w:type="fixed"/>
        <w:tblInd w:w="2220" w:type="dxa"/>
        <w:tblCellMar>
          <w:top w:w="0" w:type="dxa"/>
          <w:left w:w="0" w:type="dxa"/>
          <w:bottom w:w="0" w:type="dxa"/>
          <w:right w:w="0" w:type="dxa"/>
        </w:tblCellMar>
      </w:tblPr>
      <w:tr>
        <w:trPr>
          <w:trHeight w:val="202"/>
        </w:trPr>
        <w:tc>
          <w:tcPr>
            <w:tcW w:w="3160" w:type="dxa"/>
            <w:vAlign w:val="bottom"/>
            <w:gridSpan w:val="2"/>
          </w:tcPr>
          <w:p>
            <w:pPr>
              <w:spacing w:after="0"/>
              <w:rPr>
                <w:sz w:val="20"/>
                <w:szCs w:val="20"/>
                <w:color w:val="auto"/>
              </w:rPr>
            </w:pPr>
            <w:r>
              <w:rPr>
                <w:rFonts w:ascii="Arial" w:cs="Arial" w:eastAsia="Arial" w:hAnsi="Arial"/>
                <w:sz w:val="15"/>
                <w:szCs w:val="15"/>
                <w:color w:val="1A475F"/>
              </w:rPr>
              <w:t>•   Board governance and refreshment</w:t>
            </w:r>
          </w:p>
        </w:tc>
        <w:tc>
          <w:tcPr>
            <w:tcW w:w="620" w:type="dxa"/>
            <w:vAlign w:val="bottom"/>
          </w:tcPr>
          <w:p>
            <w:pPr>
              <w:ind w:left="460"/>
              <w:spacing w:after="0"/>
              <w:rPr>
                <w:sz w:val="20"/>
                <w:szCs w:val="20"/>
                <w:color w:val="auto"/>
              </w:rPr>
            </w:pPr>
            <w:r>
              <w:rPr>
                <w:rFonts w:ascii="Arial" w:cs="Arial" w:eastAsia="Arial" w:hAnsi="Arial"/>
                <w:sz w:val="15"/>
                <w:szCs w:val="15"/>
                <w:color w:val="1A475F"/>
              </w:rPr>
              <w:t>•</w:t>
            </w:r>
          </w:p>
        </w:tc>
        <w:tc>
          <w:tcPr>
            <w:tcW w:w="2560" w:type="dxa"/>
            <w:vAlign w:val="bottom"/>
          </w:tcPr>
          <w:p>
            <w:pPr>
              <w:ind w:left="120"/>
              <w:spacing w:after="0"/>
              <w:rPr>
                <w:sz w:val="20"/>
                <w:szCs w:val="20"/>
                <w:color w:val="auto"/>
              </w:rPr>
            </w:pPr>
            <w:r>
              <w:rPr>
                <w:rFonts w:ascii="Arial" w:cs="Arial" w:eastAsia="Arial" w:hAnsi="Arial"/>
                <w:sz w:val="15"/>
                <w:szCs w:val="15"/>
                <w:color w:val="1A475F"/>
              </w:rPr>
              <w:t>Executive compensation</w:t>
            </w:r>
          </w:p>
        </w:tc>
      </w:tr>
      <w:tr>
        <w:trPr>
          <w:trHeight w:val="232"/>
        </w:trPr>
        <w:tc>
          <w:tcPr>
            <w:tcW w:w="180" w:type="dxa"/>
            <w:vAlign w:val="bottom"/>
          </w:tcPr>
          <w:p>
            <w:pPr>
              <w:spacing w:after="0"/>
              <w:rPr>
                <w:sz w:val="20"/>
                <w:szCs w:val="20"/>
                <w:color w:val="auto"/>
              </w:rPr>
            </w:pPr>
            <w:r>
              <w:rPr>
                <w:rFonts w:ascii="Arial" w:cs="Arial" w:eastAsia="Arial" w:hAnsi="Arial"/>
                <w:sz w:val="15"/>
                <w:szCs w:val="15"/>
                <w:color w:val="1A475F"/>
              </w:rPr>
              <w:t>•</w:t>
            </w:r>
          </w:p>
        </w:tc>
        <w:tc>
          <w:tcPr>
            <w:tcW w:w="2980" w:type="dxa"/>
            <w:vAlign w:val="bottom"/>
          </w:tcPr>
          <w:p>
            <w:pPr>
              <w:ind w:left="100"/>
              <w:spacing w:after="0"/>
              <w:rPr>
                <w:sz w:val="20"/>
                <w:szCs w:val="20"/>
                <w:color w:val="auto"/>
              </w:rPr>
            </w:pPr>
            <w:r>
              <w:rPr>
                <w:rFonts w:ascii="Arial" w:cs="Arial" w:eastAsia="Arial" w:hAnsi="Arial"/>
                <w:sz w:val="15"/>
                <w:szCs w:val="15"/>
                <w:color w:val="1A475F"/>
              </w:rPr>
              <w:t>Board oversight of risks</w:t>
            </w:r>
          </w:p>
        </w:tc>
        <w:tc>
          <w:tcPr>
            <w:tcW w:w="3180" w:type="dxa"/>
            <w:vAlign w:val="bottom"/>
            <w:gridSpan w:val="2"/>
          </w:tcPr>
          <w:p>
            <w:pPr>
              <w:ind w:left="460"/>
              <w:spacing w:after="0"/>
              <w:rPr>
                <w:sz w:val="20"/>
                <w:szCs w:val="20"/>
                <w:color w:val="auto"/>
              </w:rPr>
            </w:pPr>
            <w:r>
              <w:rPr>
                <w:rFonts w:ascii="Arial" w:cs="Arial" w:eastAsia="Arial" w:hAnsi="Arial"/>
                <w:sz w:val="15"/>
                <w:szCs w:val="15"/>
                <w:color w:val="1A475F"/>
              </w:rPr>
              <w:t>•   Health and safety and safeguarding</w:t>
            </w:r>
          </w:p>
        </w:tc>
      </w:tr>
      <w:tr>
        <w:trPr>
          <w:trHeight w:val="232"/>
        </w:trPr>
        <w:tc>
          <w:tcPr>
            <w:tcW w:w="180" w:type="dxa"/>
            <w:vAlign w:val="bottom"/>
          </w:tcPr>
          <w:p>
            <w:pPr>
              <w:spacing w:after="0"/>
              <w:rPr>
                <w:sz w:val="20"/>
                <w:szCs w:val="20"/>
                <w:color w:val="auto"/>
              </w:rPr>
            </w:pPr>
            <w:r>
              <w:rPr>
                <w:rFonts w:ascii="Arial" w:cs="Arial" w:eastAsia="Arial" w:hAnsi="Arial"/>
                <w:sz w:val="15"/>
                <w:szCs w:val="15"/>
                <w:color w:val="1A475F"/>
              </w:rPr>
              <w:t>•</w:t>
            </w:r>
          </w:p>
        </w:tc>
        <w:tc>
          <w:tcPr>
            <w:tcW w:w="2980" w:type="dxa"/>
            <w:vAlign w:val="bottom"/>
          </w:tcPr>
          <w:p>
            <w:pPr>
              <w:ind w:left="100"/>
              <w:spacing w:after="0"/>
              <w:rPr>
                <w:sz w:val="20"/>
                <w:szCs w:val="20"/>
                <w:color w:val="auto"/>
              </w:rPr>
            </w:pPr>
            <w:r>
              <w:rPr>
                <w:rFonts w:ascii="Arial" w:cs="Arial" w:eastAsia="Arial" w:hAnsi="Arial"/>
                <w:sz w:val="15"/>
                <w:szCs w:val="15"/>
                <w:color w:val="1A475F"/>
              </w:rPr>
              <w:t>ESG initiatives and reporting</w:t>
            </w:r>
          </w:p>
        </w:tc>
        <w:tc>
          <w:tcPr>
            <w:tcW w:w="620" w:type="dxa"/>
            <w:vAlign w:val="bottom"/>
          </w:tcPr>
          <w:p>
            <w:pPr>
              <w:ind w:left="460"/>
              <w:spacing w:after="0"/>
              <w:rPr>
                <w:sz w:val="20"/>
                <w:szCs w:val="20"/>
                <w:color w:val="auto"/>
              </w:rPr>
            </w:pPr>
            <w:r>
              <w:rPr>
                <w:rFonts w:ascii="Arial" w:cs="Arial" w:eastAsia="Arial" w:hAnsi="Arial"/>
                <w:sz w:val="15"/>
                <w:szCs w:val="15"/>
                <w:color w:val="1A475F"/>
              </w:rPr>
              <w:t>•</w:t>
            </w:r>
          </w:p>
        </w:tc>
        <w:tc>
          <w:tcPr>
            <w:tcW w:w="2560" w:type="dxa"/>
            <w:vAlign w:val="bottom"/>
          </w:tcPr>
          <w:p>
            <w:pPr>
              <w:ind w:left="120"/>
              <w:spacing w:after="0"/>
              <w:rPr>
                <w:sz w:val="20"/>
                <w:szCs w:val="20"/>
                <w:color w:val="auto"/>
              </w:rPr>
            </w:pPr>
            <w:r>
              <w:rPr>
                <w:rFonts w:ascii="Arial" w:cs="Arial" w:eastAsia="Arial" w:hAnsi="Arial"/>
                <w:sz w:val="15"/>
                <w:szCs w:val="15"/>
                <w:color w:val="1A475F"/>
              </w:rPr>
              <w:t>Human capital management</w:t>
            </w:r>
          </w:p>
        </w:tc>
      </w:tr>
    </w:tbl>
    <w:p>
      <w:pPr>
        <w:spacing w:after="0" w:line="157" w:lineRule="exact"/>
        <w:rPr>
          <w:sz w:val="20"/>
          <w:szCs w:val="20"/>
          <w:color w:val="auto"/>
        </w:rPr>
      </w:pPr>
    </w:p>
    <w:p>
      <w:pPr>
        <w:ind w:left="900" w:right="400" w:firstLine="756"/>
        <w:spacing w:after="0" w:line="282" w:lineRule="auto"/>
        <w:rPr>
          <w:sz w:val="20"/>
          <w:szCs w:val="20"/>
          <w:color w:val="auto"/>
        </w:rPr>
      </w:pPr>
      <w:r>
        <w:rPr>
          <w:rFonts w:ascii="Arial" w:cs="Arial" w:eastAsia="Arial" w:hAnsi="Arial"/>
          <w:sz w:val="15"/>
          <w:szCs w:val="15"/>
          <w:color w:val="1A475F"/>
        </w:rPr>
        <w:t>Shareholder feedback is presented to, and reviewed by, the Nominating and Corporate Governance Committee, the other committees or full Board, as applicable.</w:t>
      </w:r>
    </w:p>
    <w:p>
      <w:pPr>
        <w:spacing w:after="0" w:line="67"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18</w:t>
        <w:tab/>
        <w:t>|    Bright Horizons </w:t>
      </w:r>
    </w:p>
    <w:p>
      <w:pPr>
        <w:sectPr>
          <w:pgSz w:w="11900" w:h="16838" w:orient="portrait"/>
          <w:cols w:equalWidth="0" w:num="1">
            <w:col w:w="10340"/>
          </w:cols>
          <w:pgMar w:left="320" w:top="433" w:right="12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189230</wp:posOffset>
            </wp:positionV>
            <wp:extent cx="5997575" cy="161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97575" cy="161925"/>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Board Refreshment, Composition and Expertise</w:t>
      </w:r>
    </w:p>
    <w:p>
      <w:pPr>
        <w:spacing w:after="0" w:line="119" w:lineRule="exact"/>
        <w:rPr>
          <w:sz w:val="20"/>
          <w:szCs w:val="20"/>
          <w:color w:val="auto"/>
        </w:rPr>
      </w:pPr>
    </w:p>
    <w:p>
      <w:pPr>
        <w:ind w:left="900" w:right="20" w:firstLine="756"/>
        <w:spacing w:after="0" w:line="255" w:lineRule="auto"/>
        <w:rPr>
          <w:sz w:val="20"/>
          <w:szCs w:val="20"/>
          <w:color w:val="auto"/>
        </w:rPr>
      </w:pPr>
      <w:r>
        <w:rPr>
          <w:rFonts w:ascii="Arial" w:cs="Arial" w:eastAsia="Arial" w:hAnsi="Arial"/>
          <w:sz w:val="15"/>
          <w:szCs w:val="15"/>
          <w:color w:val="1A475F"/>
        </w:rPr>
        <w:t>The Board and the Nominating and Corporate Governance Committee are committed to ensuring our Board represents a balance of longer-tenured members with in-depth knowledge of our business and newer members who bring valuable additional attributes, skills and experience. In addition to ensuring the Board reflects an appropriate mix of experiences, qualifications, attributes and skills, the Nominating and Corporate Governance Committee focuses on director succession and tenure and regularly reviews director skill sets.</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Board Refreshment and Size</w:t>
      </w:r>
    </w:p>
    <w:p>
      <w:pPr>
        <w:spacing w:after="0" w:line="94" w:lineRule="exact"/>
        <w:rPr>
          <w:sz w:val="20"/>
          <w:szCs w:val="20"/>
          <w:color w:val="auto"/>
        </w:rPr>
      </w:pPr>
    </w:p>
    <w:p>
      <w:pPr>
        <w:ind w:left="900" w:right="40" w:firstLine="756"/>
        <w:spacing w:after="0" w:line="255" w:lineRule="auto"/>
        <w:rPr>
          <w:sz w:val="20"/>
          <w:szCs w:val="20"/>
          <w:color w:val="auto"/>
        </w:rPr>
      </w:pPr>
      <w:r>
        <w:rPr>
          <w:rFonts w:ascii="Arial" w:cs="Arial" w:eastAsia="Arial" w:hAnsi="Arial"/>
          <w:sz w:val="15"/>
          <w:szCs w:val="15"/>
          <w:color w:val="1A475F"/>
        </w:rPr>
        <w:t>Under the leadership of the Nominating and Corporate Governance Committee, the Board has been notably refreshed over the past 10 years by adding five new directors, including four independent directors and rotating seven directors off, lending fresh perspectives and broadened backgrounds and skill sets. These directors have brought a mix of experience in digital strategy, marketing, communications, innovation, strategic and operational leadership, industry experience, financial expertise and risk management:</w:t>
      </w:r>
    </w:p>
    <w:p>
      <w:pPr>
        <w:spacing w:after="0" w:line="168" w:lineRule="exact"/>
        <w:rPr>
          <w:sz w:val="20"/>
          <w:szCs w:val="20"/>
          <w:color w:val="auto"/>
        </w:rPr>
      </w:pPr>
    </w:p>
    <w:tbl>
      <w:tblPr>
        <w:tblLayout w:type="fixed"/>
        <w:tblInd w:w="900" w:type="dxa"/>
        <w:tblCellMar>
          <w:top w:w="0" w:type="dxa"/>
          <w:left w:w="0" w:type="dxa"/>
          <w:bottom w:w="0" w:type="dxa"/>
          <w:right w:w="0" w:type="dxa"/>
        </w:tblCellMar>
      </w:tblPr>
      <w:tr>
        <w:trPr>
          <w:trHeight w:val="202"/>
        </w:trPr>
        <w:tc>
          <w:tcPr>
            <w:tcW w:w="5880" w:type="dxa"/>
            <w:vAlign w:val="bottom"/>
            <w:tcBorders>
              <w:bottom w:val="single" w:sz="8" w:color="1A475F"/>
            </w:tcBorders>
            <w:gridSpan w:val="3"/>
          </w:tcPr>
          <w:p>
            <w:pPr>
              <w:ind w:left="1880"/>
              <w:spacing w:after="0"/>
              <w:rPr>
                <w:sz w:val="20"/>
                <w:szCs w:val="20"/>
                <w:color w:val="auto"/>
              </w:rPr>
            </w:pPr>
            <w:r>
              <w:rPr>
                <w:rFonts w:ascii="Arial" w:cs="Arial" w:eastAsia="Arial" w:hAnsi="Arial"/>
                <w:sz w:val="15"/>
                <w:szCs w:val="15"/>
                <w:b w:val="1"/>
                <w:bCs w:val="1"/>
                <w:color w:val="1A475F"/>
              </w:rPr>
              <w:t>Ongoing Board Refreshment</w:t>
            </w:r>
          </w:p>
        </w:tc>
        <w:tc>
          <w:tcPr>
            <w:tcW w:w="740" w:type="dxa"/>
            <w:vAlign w:val="bottom"/>
          </w:tcPr>
          <w:p>
            <w:pPr>
              <w:ind w:left="220"/>
              <w:spacing w:after="0"/>
              <w:rPr>
                <w:sz w:val="20"/>
                <w:szCs w:val="20"/>
                <w:color w:val="auto"/>
              </w:rPr>
            </w:pPr>
            <w:r>
              <w:rPr>
                <w:rFonts w:ascii="Arial" w:cs="Arial" w:eastAsia="Arial" w:hAnsi="Arial"/>
                <w:sz w:val="15"/>
                <w:szCs w:val="15"/>
                <w:b w:val="1"/>
                <w:bCs w:val="1"/>
                <w:color w:val="1A475F"/>
              </w:rPr>
              <w:t xml:space="preserve">    </w:t>
            </w:r>
          </w:p>
        </w:tc>
        <w:tc>
          <w:tcPr>
            <w:tcW w:w="2840" w:type="dxa"/>
            <w:vAlign w:val="bottom"/>
            <w:tcBorders>
              <w:bottom w:val="single" w:sz="8" w:color="1A475F"/>
            </w:tcBorders>
          </w:tcPr>
          <w:p>
            <w:pPr>
              <w:ind w:left="720"/>
              <w:spacing w:after="0"/>
              <w:rPr>
                <w:sz w:val="20"/>
                <w:szCs w:val="20"/>
                <w:color w:val="auto"/>
              </w:rPr>
            </w:pPr>
            <w:r>
              <w:rPr>
                <w:rFonts w:ascii="Arial" w:cs="Arial" w:eastAsia="Arial" w:hAnsi="Arial"/>
                <w:sz w:val="15"/>
                <w:szCs w:val="15"/>
                <w:b w:val="1"/>
                <w:bCs w:val="1"/>
                <w:color w:val="1A475F"/>
              </w:rPr>
              <w:t>Current Board Size</w:t>
            </w:r>
          </w:p>
        </w:tc>
      </w:tr>
      <w:tr>
        <w:trPr>
          <w:trHeight w:val="223"/>
        </w:trPr>
        <w:tc>
          <w:tcPr>
            <w:tcW w:w="2760" w:type="dxa"/>
            <w:vAlign w:val="bottom"/>
            <w:tcBorders>
              <w:bottom w:val="single" w:sz="8" w:color="1A475F"/>
            </w:tcBorders>
          </w:tcPr>
          <w:p>
            <w:pPr>
              <w:ind w:left="600"/>
              <w:spacing w:after="0"/>
              <w:rPr>
                <w:sz w:val="20"/>
                <w:szCs w:val="20"/>
                <w:color w:val="auto"/>
              </w:rPr>
            </w:pPr>
            <w:r>
              <w:rPr>
                <w:rFonts w:ascii="Arial" w:cs="Arial" w:eastAsia="Arial" w:hAnsi="Arial"/>
                <w:sz w:val="15"/>
                <w:szCs w:val="15"/>
                <w:b w:val="1"/>
                <w:bCs w:val="1"/>
                <w:color w:val="1A475F"/>
              </w:rPr>
              <w:t>Directors Onboarded</w:t>
            </w:r>
          </w:p>
        </w:tc>
        <w:tc>
          <w:tcPr>
            <w:tcW w:w="180" w:type="dxa"/>
            <w:vAlign w:val="bottom"/>
          </w:tcPr>
          <w:p>
            <w:pPr>
              <w:spacing w:after="0"/>
              <w:rPr>
                <w:sz w:val="19"/>
                <w:szCs w:val="19"/>
                <w:color w:val="auto"/>
              </w:rPr>
            </w:pPr>
          </w:p>
        </w:tc>
        <w:tc>
          <w:tcPr>
            <w:tcW w:w="2940" w:type="dxa"/>
            <w:vAlign w:val="bottom"/>
            <w:tcBorders>
              <w:bottom w:val="single" w:sz="8" w:color="1A475F"/>
            </w:tcBorders>
          </w:tcPr>
          <w:p>
            <w:pPr>
              <w:ind w:left="840"/>
              <w:spacing w:after="0"/>
              <w:rPr>
                <w:sz w:val="20"/>
                <w:szCs w:val="20"/>
                <w:color w:val="auto"/>
              </w:rPr>
            </w:pPr>
            <w:r>
              <w:rPr>
                <w:rFonts w:ascii="Arial" w:cs="Arial" w:eastAsia="Arial" w:hAnsi="Arial"/>
                <w:sz w:val="15"/>
                <w:szCs w:val="15"/>
                <w:b w:val="1"/>
                <w:bCs w:val="1"/>
                <w:color w:val="1A475F"/>
              </w:rPr>
              <w:t>Directors Retired</w:t>
            </w:r>
          </w:p>
        </w:tc>
        <w:tc>
          <w:tcPr>
            <w:tcW w:w="7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5"/>
                <w:szCs w:val="15"/>
                <w:color w:val="1A475F"/>
              </w:rPr>
              <w:t>•  Independent director in 2016</w:t>
            </w:r>
          </w:p>
        </w:tc>
        <w:tc>
          <w:tcPr>
            <w:tcW w:w="3120" w:type="dxa"/>
            <w:vAlign w:val="bottom"/>
            <w:gridSpan w:val="2"/>
          </w:tcPr>
          <w:p>
            <w:pPr>
              <w:ind w:left="180"/>
              <w:spacing w:after="0"/>
              <w:rPr>
                <w:sz w:val="20"/>
                <w:szCs w:val="20"/>
                <w:color w:val="auto"/>
              </w:rPr>
            </w:pPr>
            <w:r>
              <w:rPr>
                <w:rFonts w:ascii="Arial" w:cs="Arial" w:eastAsia="Arial" w:hAnsi="Arial"/>
                <w:sz w:val="15"/>
                <w:szCs w:val="15"/>
                <w:color w:val="1A475F"/>
              </w:rPr>
              <w:t>•  One director in 2017</w:t>
            </w:r>
          </w:p>
        </w:tc>
        <w:tc>
          <w:tcPr>
            <w:tcW w:w="7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5"/>
                <w:szCs w:val="15"/>
                <w:color w:val="1A475F"/>
              </w:rPr>
              <w:t>•  Independent director in 2017</w:t>
            </w:r>
          </w:p>
        </w:tc>
        <w:tc>
          <w:tcPr>
            <w:tcW w:w="3120" w:type="dxa"/>
            <w:vAlign w:val="bottom"/>
            <w:gridSpan w:val="2"/>
          </w:tcPr>
          <w:p>
            <w:pPr>
              <w:ind w:left="180"/>
              <w:spacing w:after="0"/>
              <w:rPr>
                <w:sz w:val="20"/>
                <w:szCs w:val="20"/>
                <w:color w:val="auto"/>
              </w:rPr>
            </w:pPr>
            <w:r>
              <w:rPr>
                <w:rFonts w:ascii="Arial" w:cs="Arial" w:eastAsia="Arial" w:hAnsi="Arial"/>
                <w:sz w:val="15"/>
                <w:szCs w:val="15"/>
                <w:color w:val="1A475F"/>
              </w:rPr>
              <w:t>•  One director in 2019</w:t>
            </w:r>
          </w:p>
        </w:tc>
        <w:tc>
          <w:tcPr>
            <w:tcW w:w="7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08"/>
        </w:trPr>
        <w:tc>
          <w:tcPr>
            <w:tcW w:w="2760" w:type="dxa"/>
            <w:vAlign w:val="bottom"/>
          </w:tcPr>
          <w:p>
            <w:pPr>
              <w:spacing w:after="0"/>
              <w:rPr>
                <w:sz w:val="20"/>
                <w:szCs w:val="20"/>
                <w:color w:val="auto"/>
              </w:rPr>
            </w:pPr>
            <w:r>
              <w:rPr>
                <w:rFonts w:ascii="Arial" w:cs="Arial" w:eastAsia="Arial" w:hAnsi="Arial"/>
                <w:sz w:val="15"/>
                <w:szCs w:val="15"/>
                <w:color w:val="1A475F"/>
              </w:rPr>
              <w:t>•  New CEO and director in 2018</w:t>
            </w:r>
          </w:p>
        </w:tc>
        <w:tc>
          <w:tcPr>
            <w:tcW w:w="3120" w:type="dxa"/>
            <w:vAlign w:val="bottom"/>
            <w:gridSpan w:val="2"/>
          </w:tcPr>
          <w:p>
            <w:pPr>
              <w:ind w:left="180"/>
              <w:spacing w:after="0"/>
              <w:rPr>
                <w:sz w:val="20"/>
                <w:szCs w:val="20"/>
                <w:color w:val="auto"/>
              </w:rPr>
            </w:pPr>
            <w:r>
              <w:rPr>
                <w:rFonts w:ascii="Arial" w:cs="Arial" w:eastAsia="Arial" w:hAnsi="Arial"/>
                <w:sz w:val="15"/>
                <w:szCs w:val="15"/>
                <w:color w:val="1A475F"/>
              </w:rPr>
              <w:t>•  Three founders in 2021</w:t>
            </w:r>
          </w:p>
        </w:tc>
        <w:tc>
          <w:tcPr>
            <w:tcW w:w="7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192"/>
        </w:trPr>
        <w:tc>
          <w:tcPr>
            <w:tcW w:w="2760" w:type="dxa"/>
            <w:vAlign w:val="bottom"/>
          </w:tcPr>
          <w:p>
            <w:pPr>
              <w:spacing w:after="0"/>
              <w:rPr>
                <w:sz w:val="20"/>
                <w:szCs w:val="20"/>
                <w:color w:val="auto"/>
              </w:rPr>
            </w:pPr>
            <w:r>
              <w:rPr>
                <w:rFonts w:ascii="Arial" w:cs="Arial" w:eastAsia="Arial" w:hAnsi="Arial"/>
                <w:sz w:val="15"/>
                <w:szCs w:val="15"/>
                <w:color w:val="1A475F"/>
              </w:rPr>
              <w:t>•  Independent director in 2019</w:t>
            </w:r>
          </w:p>
        </w:tc>
        <w:tc>
          <w:tcPr>
            <w:tcW w:w="3120" w:type="dxa"/>
            <w:vAlign w:val="bottom"/>
            <w:gridSpan w:val="2"/>
          </w:tcPr>
          <w:p>
            <w:pPr>
              <w:ind w:left="180"/>
              <w:spacing w:after="0"/>
              <w:rPr>
                <w:sz w:val="20"/>
                <w:szCs w:val="20"/>
                <w:color w:val="auto"/>
              </w:rPr>
            </w:pPr>
            <w:r>
              <w:rPr>
                <w:rFonts w:ascii="Arial" w:cs="Arial" w:eastAsia="Arial" w:hAnsi="Arial"/>
                <w:sz w:val="15"/>
                <w:szCs w:val="15"/>
                <w:color w:val="1A475F"/>
              </w:rPr>
              <w:t>•  One director in 2024</w:t>
            </w:r>
          </w:p>
        </w:tc>
        <w:tc>
          <w:tcPr>
            <w:tcW w:w="74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48"/>
        </w:trPr>
        <w:tc>
          <w:tcPr>
            <w:tcW w:w="2760" w:type="dxa"/>
            <w:vAlign w:val="bottom"/>
          </w:tcPr>
          <w:p>
            <w:pPr>
              <w:spacing w:after="0"/>
              <w:rPr>
                <w:sz w:val="20"/>
                <w:szCs w:val="20"/>
                <w:color w:val="auto"/>
              </w:rPr>
            </w:pPr>
            <w:r>
              <w:rPr>
                <w:rFonts w:ascii="Arial" w:cs="Arial" w:eastAsia="Arial" w:hAnsi="Arial"/>
                <w:sz w:val="15"/>
                <w:szCs w:val="15"/>
                <w:color w:val="1A475F"/>
              </w:rPr>
              <w:t>•  Independent director in 2024</w:t>
            </w:r>
          </w:p>
        </w:tc>
        <w:tc>
          <w:tcPr>
            <w:tcW w:w="3120" w:type="dxa"/>
            <w:vAlign w:val="bottom"/>
            <w:gridSpan w:val="2"/>
          </w:tcPr>
          <w:p>
            <w:pPr>
              <w:ind w:left="180"/>
              <w:spacing w:after="0"/>
              <w:rPr>
                <w:sz w:val="20"/>
                <w:szCs w:val="20"/>
                <w:color w:val="auto"/>
              </w:rPr>
            </w:pPr>
            <w:r>
              <w:rPr>
                <w:rFonts w:ascii="Arial" w:cs="Arial" w:eastAsia="Arial" w:hAnsi="Arial"/>
                <w:sz w:val="15"/>
                <w:szCs w:val="15"/>
                <w:color w:val="1A475F"/>
              </w:rPr>
              <w:t>•  One director in 2025</w:t>
            </w:r>
          </w:p>
        </w:tc>
        <w:tc>
          <w:tcPr>
            <w:tcW w:w="740" w:type="dxa"/>
            <w:vAlign w:val="bottom"/>
          </w:tcPr>
          <w:p>
            <w:pPr>
              <w:spacing w:after="0"/>
              <w:rPr>
                <w:sz w:val="21"/>
                <w:szCs w:val="21"/>
                <w:color w:val="auto"/>
              </w:rPr>
            </w:pPr>
          </w:p>
        </w:tc>
        <w:tc>
          <w:tcPr>
            <w:tcW w:w="28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-779780</wp:posOffset>
            </wp:positionV>
            <wp:extent cx="801370" cy="7645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01370" cy="764540"/>
                    </a:xfrm>
                    <a:prstGeom prst="rect">
                      <a:avLst/>
                    </a:prstGeom>
                    <a:noFill/>
                  </pic:spPr>
                </pic:pic>
              </a:graphicData>
            </a:graphic>
          </wp:anchor>
        </w:drawing>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Board Composition</w:t>
      </w:r>
    </w:p>
    <w:p>
      <w:pPr>
        <w:spacing w:after="0" w:line="105" w:lineRule="exact"/>
        <w:rPr>
          <w:sz w:val="20"/>
          <w:szCs w:val="20"/>
          <w:color w:val="auto"/>
        </w:rPr>
      </w:pPr>
    </w:p>
    <w:p>
      <w:pPr>
        <w:ind w:left="900" w:right="4020" w:firstLine="556"/>
        <w:spacing w:after="0" w:line="246" w:lineRule="auto"/>
        <w:rPr>
          <w:sz w:val="20"/>
          <w:szCs w:val="20"/>
          <w:color w:val="auto"/>
        </w:rPr>
      </w:pPr>
      <w:r>
        <w:rPr>
          <w:rFonts w:ascii="Arial" w:cs="Arial" w:eastAsia="Arial" w:hAnsi="Arial"/>
          <w:sz w:val="15"/>
          <w:szCs w:val="15"/>
          <w:color w:val="1A475F"/>
        </w:rPr>
        <w:t>The Board believes that it is important that our directors have varied business expertise and experience and reflect a range of backgrounds. The Board seeks broad representation and the right mix of directors with institutional knowledge relevant to our business, fresh perspectives and differentiated backgrounds that enrich the experience set. All of our Board members elected to self-identify and consented to the disclosure of their race, ethnicity or gender below. As of the date of this Proxy Statement, forty-four percent (44%) of our Board members self-identified as women and eleven percent (11%) self-identified as non-white.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4309745</wp:posOffset>
            </wp:positionH>
            <wp:positionV relativeFrom="paragraph">
              <wp:posOffset>-978535</wp:posOffset>
            </wp:positionV>
            <wp:extent cx="2065655" cy="933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65655" cy="933450"/>
                    </a:xfrm>
                    <a:prstGeom prst="rect">
                      <a:avLst/>
                    </a:prstGeom>
                    <a:noFill/>
                  </pic:spPr>
                </pic:pic>
              </a:graphicData>
            </a:graphic>
          </wp:anchor>
        </w:drawing>
      </w:r>
    </w:p>
    <w:p>
      <w:pPr>
        <w:spacing w:after="0" w:line="216" w:lineRule="exact"/>
        <w:rPr>
          <w:sz w:val="20"/>
          <w:szCs w:val="20"/>
          <w:color w:val="auto"/>
        </w:rPr>
      </w:pPr>
    </w:p>
    <w:p>
      <w:pPr>
        <w:jc w:val="right"/>
        <w:ind w:right="20"/>
        <w:spacing w:after="0"/>
        <w:tabs>
          <w:tab w:leader="none" w:pos="440" w:val="left"/>
          <w:tab w:leader="none" w:pos="1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19</w:t>
      </w:r>
    </w:p>
    <w:p>
      <w:pPr>
        <w:sectPr>
          <w:pgSz w:w="11900" w:h="16838" w:orient="portrait"/>
          <w:cols w:equalWidth="0" w:num="1">
            <w:col w:w="10360"/>
          </w:cols>
          <w:pgMar w:left="320" w:top="433" w:right="12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Board Expertise and Skills Matrix</w:t>
      </w:r>
    </w:p>
    <w:p>
      <w:pPr>
        <w:spacing w:after="0" w:line="94" w:lineRule="exact"/>
        <w:rPr>
          <w:sz w:val="20"/>
          <w:szCs w:val="20"/>
          <w:color w:val="auto"/>
        </w:rPr>
      </w:pPr>
    </w:p>
    <w:p>
      <w:pPr>
        <w:ind w:left="900" w:right="60" w:firstLine="756"/>
        <w:spacing w:after="0" w:line="251" w:lineRule="auto"/>
        <w:rPr>
          <w:sz w:val="20"/>
          <w:szCs w:val="20"/>
          <w:color w:val="auto"/>
        </w:rPr>
      </w:pPr>
      <w:r>
        <w:rPr>
          <w:rFonts w:ascii="Arial" w:cs="Arial" w:eastAsia="Arial" w:hAnsi="Arial"/>
          <w:sz w:val="15"/>
          <w:szCs w:val="15"/>
          <w:color w:val="1A475F"/>
        </w:rPr>
        <w:t>We seek a Board that reflects a range of talents, skills and expertise—particularly in the areas of multi-site operations, financial management, domestic and international markets, leadership, corporate governance, accounting, risk, and the child care, education, workplace benefits and related industries in which we operate—sufficient to provide sound and prudent guidance with respect to our operations and interests. The Nominating and Corporate Governance Committee regularly reviews the skills, experience, and backgrounds that it believes are desirable to be represented on the Board.</w:t>
      </w:r>
    </w:p>
    <w:p>
      <w:pPr>
        <w:spacing w:after="0" w:line="151"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The following skills matrix depicts the most significant skills, areas of expertise and experience represented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208280</wp:posOffset>
            </wp:positionV>
            <wp:extent cx="6005195" cy="3351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0519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1A475F"/>
        </w:rPr>
        <w:t>Operational and Industry Experience</w:t>
      </w:r>
    </w:p>
    <w:p>
      <w:pPr>
        <w:spacing w:after="0" w:line="40" w:lineRule="exact"/>
        <w:rPr>
          <w:sz w:val="20"/>
          <w:szCs w:val="20"/>
          <w:color w:val="auto"/>
        </w:rPr>
      </w:pPr>
    </w:p>
    <w:tbl>
      <w:tblPr>
        <w:tblLayout w:type="fixed"/>
        <w:tblInd w:w="900" w:type="dxa"/>
        <w:tblCellMar>
          <w:top w:w="0" w:type="dxa"/>
          <w:left w:w="0" w:type="dxa"/>
          <w:bottom w:w="0" w:type="dxa"/>
          <w:right w:w="0" w:type="dxa"/>
        </w:tblCellMar>
      </w:tblPr>
      <w:tr>
        <w:trPr>
          <w:trHeight w:val="26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Child Care and Early Education</w:t>
            </w:r>
          </w:p>
        </w:tc>
        <w:tc>
          <w:tcPr>
            <w:tcW w:w="500" w:type="dxa"/>
            <w:vAlign w:val="bottom"/>
            <w:tcBorders>
              <w:top w:val="single" w:sz="8" w:color="1A475F"/>
              <w:right w:val="single" w:sz="8" w:color="1A475F"/>
            </w:tcBorders>
          </w:tcPr>
          <w:p>
            <w:pPr>
              <w:spacing w:after="0"/>
              <w:rPr>
                <w:sz w:val="23"/>
                <w:szCs w:val="23"/>
                <w:color w:val="auto"/>
              </w:rPr>
            </w:pPr>
          </w:p>
        </w:tc>
        <w:tc>
          <w:tcPr>
            <w:tcW w:w="480" w:type="dxa"/>
            <w:vAlign w:val="bottom"/>
            <w:tcBorders>
              <w:top w:val="single" w:sz="8" w:color="1A475F"/>
              <w:right w:val="single" w:sz="8" w:color="1A475F"/>
            </w:tcBorders>
          </w:tcPr>
          <w:p>
            <w:pPr>
              <w:spacing w:after="0"/>
              <w:rPr>
                <w:sz w:val="23"/>
                <w:szCs w:val="23"/>
                <w:color w:val="auto"/>
              </w:rPr>
            </w:pPr>
          </w:p>
        </w:tc>
        <w:tc>
          <w:tcPr>
            <w:tcW w:w="480" w:type="dxa"/>
            <w:vAlign w:val="bottom"/>
            <w:tcBorders>
              <w:top w:val="single" w:sz="8" w:color="1A475F"/>
              <w:right w:val="single" w:sz="8" w:color="1A475F"/>
            </w:tcBorders>
          </w:tcPr>
          <w:p>
            <w:pPr>
              <w:spacing w:after="0"/>
              <w:rPr>
                <w:sz w:val="23"/>
                <w:szCs w:val="23"/>
                <w:color w:val="auto"/>
              </w:rPr>
            </w:pPr>
          </w:p>
        </w:tc>
        <w:tc>
          <w:tcPr>
            <w:tcW w:w="480" w:type="dxa"/>
            <w:vAlign w:val="bottom"/>
            <w:tcBorders>
              <w:top w:val="single" w:sz="8" w:color="1A475F"/>
              <w:right w:val="single" w:sz="8" w:color="1A475F"/>
            </w:tcBorders>
          </w:tcPr>
          <w:p>
            <w:pPr>
              <w:spacing w:after="0"/>
              <w:rPr>
                <w:sz w:val="23"/>
                <w:szCs w:val="23"/>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spacing w:after="0"/>
              <w:rPr>
                <w:sz w:val="23"/>
                <w:szCs w:val="23"/>
                <w:color w:val="auto"/>
              </w:rPr>
            </w:pPr>
          </w:p>
        </w:tc>
        <w:tc>
          <w:tcPr>
            <w:tcW w:w="460" w:type="dxa"/>
            <w:vAlign w:val="bottom"/>
            <w:tcBorders>
              <w:top w:val="single" w:sz="8" w:color="1A475F"/>
              <w:right w:val="single" w:sz="8" w:color="1A475F"/>
            </w:tcBorders>
          </w:tcPr>
          <w:p>
            <w:pPr>
              <w:spacing w:after="0"/>
              <w:rPr>
                <w:sz w:val="23"/>
                <w:szCs w:val="23"/>
                <w:color w:val="auto"/>
              </w:rPr>
            </w:pP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Workforce and Adult Education</w:t>
            </w:r>
          </w:p>
        </w:tc>
        <w:tc>
          <w:tcPr>
            <w:tcW w:w="50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tcBorders>
          </w:tcPr>
          <w:p>
            <w:pPr>
              <w:spacing w:after="0"/>
              <w:rPr>
                <w:sz w:val="21"/>
                <w:szCs w:val="21"/>
                <w:color w:val="auto"/>
              </w:rPr>
            </w:pP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International Operations</w:t>
            </w:r>
          </w:p>
        </w:tc>
        <w:tc>
          <w:tcPr>
            <w:tcW w:w="50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Multi-Site Operations</w:t>
            </w:r>
          </w:p>
        </w:tc>
        <w:tc>
          <w:tcPr>
            <w:tcW w:w="50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40"/>
        </w:trPr>
        <w:tc>
          <w:tcPr>
            <w:tcW w:w="5220" w:type="dxa"/>
            <w:vAlign w:val="bottom"/>
            <w:tcBorders>
              <w:top w:val="single" w:sz="8" w:color="1A475F"/>
              <w:bottom w:val="single" w:sz="8" w:color="A3DDF9"/>
              <w:right w:val="single" w:sz="8" w:color="A3DDF9"/>
            </w:tcBorders>
            <w:shd w:val="clear" w:color="auto" w:fill="A3DDF9"/>
          </w:tcPr>
          <w:p>
            <w:pPr>
              <w:ind w:left="200"/>
              <w:spacing w:after="0"/>
              <w:rPr>
                <w:sz w:val="20"/>
                <w:szCs w:val="20"/>
                <w:color w:val="auto"/>
              </w:rPr>
            </w:pPr>
            <w:r>
              <w:rPr>
                <w:rFonts w:ascii="Arial" w:cs="Arial" w:eastAsia="Arial" w:hAnsi="Arial"/>
                <w:sz w:val="14"/>
                <w:szCs w:val="14"/>
                <w:b w:val="1"/>
                <w:bCs w:val="1"/>
                <w:color w:val="1A475F"/>
              </w:rPr>
              <w:t>General Business Experience</w:t>
            </w:r>
          </w:p>
        </w:tc>
        <w:tc>
          <w:tcPr>
            <w:tcW w:w="50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8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8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8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6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6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6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6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60" w:type="dxa"/>
            <w:vAlign w:val="bottom"/>
            <w:tcBorders>
              <w:top w:val="single" w:sz="8" w:color="1A475F"/>
              <w:bottom w:val="single" w:sz="8" w:color="A3DDF9"/>
            </w:tcBorders>
            <w:shd w:val="clear" w:color="auto" w:fill="A3DDF9"/>
          </w:tcPr>
          <w:p>
            <w:pPr>
              <w:spacing w:after="0"/>
              <w:rPr>
                <w:sz w:val="20"/>
                <w:szCs w:val="20"/>
                <w:color w:val="auto"/>
              </w:rPr>
            </w:pP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C-Suite Leadership (CFO, CEO, COO, CMO)</w:t>
            </w:r>
          </w:p>
        </w:tc>
        <w:tc>
          <w:tcPr>
            <w:tcW w:w="50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c>
          <w:tcPr>
            <w:tcW w:w="48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Innovation Leadership / Business Transformation</w:t>
            </w:r>
          </w:p>
        </w:tc>
        <w:tc>
          <w:tcPr>
            <w:tcW w:w="50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Marketing / Public Relations / Communications / Digital</w:t>
            </w:r>
          </w:p>
        </w:tc>
        <w:tc>
          <w:tcPr>
            <w:tcW w:w="50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c>
          <w:tcPr>
            <w:tcW w:w="46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tcBorders>
          </w:tcPr>
          <w:p>
            <w:pPr>
              <w:spacing w:after="0"/>
              <w:rPr>
                <w:sz w:val="21"/>
                <w:szCs w:val="21"/>
                <w:color w:val="auto"/>
              </w:rPr>
            </w:pP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Oversight of Human Capital / Human Resources / Talent Management</w:t>
            </w:r>
          </w:p>
        </w:tc>
        <w:tc>
          <w:tcPr>
            <w:tcW w:w="50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Financial Expertise / Capital Markets / Accounting</w:t>
            </w:r>
          </w:p>
        </w:tc>
        <w:tc>
          <w:tcPr>
            <w:tcW w:w="50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Regulatory / Compliance / Risk</w:t>
            </w:r>
          </w:p>
        </w:tc>
        <w:tc>
          <w:tcPr>
            <w:tcW w:w="50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40"/>
        </w:trPr>
        <w:tc>
          <w:tcPr>
            <w:tcW w:w="5220" w:type="dxa"/>
            <w:vAlign w:val="bottom"/>
            <w:tcBorders>
              <w:top w:val="single" w:sz="8" w:color="1A475F"/>
              <w:bottom w:val="single" w:sz="8" w:color="A3DDF9"/>
              <w:right w:val="single" w:sz="8" w:color="A3DDF9"/>
            </w:tcBorders>
            <w:shd w:val="clear" w:color="auto" w:fill="A3DDF9"/>
          </w:tcPr>
          <w:p>
            <w:pPr>
              <w:ind w:left="200"/>
              <w:spacing w:after="0"/>
              <w:rPr>
                <w:sz w:val="20"/>
                <w:szCs w:val="20"/>
                <w:color w:val="auto"/>
              </w:rPr>
            </w:pPr>
            <w:r>
              <w:rPr>
                <w:rFonts w:ascii="Arial" w:cs="Arial" w:eastAsia="Arial" w:hAnsi="Arial"/>
                <w:sz w:val="14"/>
                <w:szCs w:val="14"/>
                <w:b w:val="1"/>
                <w:bCs w:val="1"/>
                <w:color w:val="1A475F"/>
              </w:rPr>
              <w:t>Board Experience</w:t>
            </w:r>
          </w:p>
        </w:tc>
        <w:tc>
          <w:tcPr>
            <w:tcW w:w="50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8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8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8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6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6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6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60" w:type="dxa"/>
            <w:vAlign w:val="bottom"/>
            <w:tcBorders>
              <w:top w:val="single" w:sz="8" w:color="1A475F"/>
              <w:bottom w:val="single" w:sz="8" w:color="A3DDF9"/>
              <w:right w:val="single" w:sz="8" w:color="A3DDF9"/>
            </w:tcBorders>
            <w:shd w:val="clear" w:color="auto" w:fill="A3DDF9"/>
          </w:tcPr>
          <w:p>
            <w:pPr>
              <w:spacing w:after="0"/>
              <w:rPr>
                <w:sz w:val="20"/>
                <w:szCs w:val="20"/>
                <w:color w:val="auto"/>
              </w:rPr>
            </w:pPr>
          </w:p>
        </w:tc>
        <w:tc>
          <w:tcPr>
            <w:tcW w:w="460" w:type="dxa"/>
            <w:vAlign w:val="bottom"/>
            <w:tcBorders>
              <w:top w:val="single" w:sz="8" w:color="1A475F"/>
              <w:bottom w:val="single" w:sz="8" w:color="A3DDF9"/>
            </w:tcBorders>
            <w:shd w:val="clear" w:color="auto" w:fill="A3DDF9"/>
          </w:tcPr>
          <w:p>
            <w:pPr>
              <w:spacing w:after="0"/>
              <w:rPr>
                <w:sz w:val="20"/>
                <w:szCs w:val="20"/>
                <w:color w:val="auto"/>
              </w:rPr>
            </w:pP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Prior / Current Audit Committee</w:t>
            </w:r>
          </w:p>
        </w:tc>
        <w:tc>
          <w:tcPr>
            <w:tcW w:w="50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Prior / Current Compensation Committee</w:t>
            </w:r>
          </w:p>
        </w:tc>
        <w:tc>
          <w:tcPr>
            <w:tcW w:w="50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80" w:type="dxa"/>
            <w:vAlign w:val="bottom"/>
            <w:tcBorders>
              <w:top w:val="single" w:sz="8" w:color="1A475F"/>
              <w:right w:val="single" w:sz="8" w:color="1A475F"/>
            </w:tcBorders>
          </w:tcPr>
          <w:p>
            <w:pPr>
              <w:spacing w:after="0"/>
              <w:rPr>
                <w:sz w:val="21"/>
                <w:szCs w:val="21"/>
                <w:color w:val="auto"/>
              </w:rPr>
            </w:pP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4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Prior / Current Nominating and Corporate Governance Committee</w:t>
            </w:r>
          </w:p>
        </w:tc>
        <w:tc>
          <w:tcPr>
            <w:tcW w:w="50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c>
          <w:tcPr>
            <w:tcW w:w="48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c>
          <w:tcPr>
            <w:tcW w:w="460" w:type="dxa"/>
            <w:vAlign w:val="bottom"/>
            <w:tcBorders>
              <w:top w:val="single" w:sz="8" w:color="1A475F"/>
              <w:right w:val="single" w:sz="8" w:color="1A475F"/>
            </w:tcBorders>
          </w:tcPr>
          <w:p>
            <w:pPr>
              <w:spacing w:after="0"/>
              <w:rPr>
                <w:sz w:val="21"/>
                <w:szCs w:val="21"/>
                <w:color w:val="auto"/>
              </w:rPr>
            </w:pP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right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rPr>
              <w:t>l</w:t>
            </w:r>
            <w:r>
              <w:rPr>
                <w:rFonts w:ascii="Arial" w:cs="Arial" w:eastAsia="Arial" w:hAnsi="Arial"/>
                <w:sz w:val="15"/>
                <w:szCs w:val="15"/>
                <w:color w:val="1A475F"/>
              </w:rPr>
              <w:t xml:space="preserve"> </w:t>
            </w:r>
          </w:p>
        </w:tc>
        <w:tc>
          <w:tcPr>
            <w:tcW w:w="460" w:type="dxa"/>
            <w:vAlign w:val="bottom"/>
            <w:tcBorders>
              <w:top w:val="single" w:sz="8" w:color="1A475F"/>
            </w:tcBorders>
          </w:tcPr>
          <w:p>
            <w:pPr>
              <w:jc w:val="center"/>
              <w:spacing w:after="0"/>
              <w:rPr>
                <w:sz w:val="20"/>
                <w:szCs w:val="20"/>
                <w:color w:val="auto"/>
              </w:rPr>
            </w:pPr>
            <w:r>
              <w:rPr>
                <w:rFonts w:ascii="Wingdings" w:cs="Wingdings" w:eastAsia="Wingdings" w:hAnsi="Wingdings"/>
                <w:sz w:val="15"/>
                <w:szCs w:val="15"/>
                <w:b w:val="1"/>
                <w:bCs w:val="1"/>
                <w:color w:val="1A475F"/>
                <w:w w:val="90"/>
              </w:rPr>
              <w:t>l</w:t>
            </w:r>
            <w:r>
              <w:rPr>
                <w:rFonts w:ascii="Arial" w:cs="Arial" w:eastAsia="Arial" w:hAnsi="Arial"/>
                <w:sz w:val="15"/>
                <w:szCs w:val="15"/>
                <w:color w:val="1A475F"/>
                <w:w w:val="90"/>
              </w:rPr>
              <w:t xml:space="preserve"> </w:t>
            </w:r>
          </w:p>
        </w:tc>
      </w:tr>
      <w:tr>
        <w:trPr>
          <w:trHeight w:val="226"/>
        </w:trPr>
        <w:tc>
          <w:tcPr>
            <w:tcW w:w="5220" w:type="dxa"/>
            <w:vAlign w:val="bottom"/>
            <w:tcBorders>
              <w:top w:val="single" w:sz="8" w:color="1A475F"/>
              <w:bottom w:val="single" w:sz="8" w:color="E0F2F9"/>
              <w:right w:val="single" w:sz="8" w:color="1A475F"/>
            </w:tcBorders>
            <w:shd w:val="clear" w:color="auto" w:fill="E0F2F9"/>
          </w:tcPr>
          <w:p>
            <w:pPr>
              <w:ind w:left="280"/>
              <w:spacing w:after="0"/>
              <w:rPr>
                <w:sz w:val="20"/>
                <w:szCs w:val="20"/>
                <w:color w:val="auto"/>
              </w:rPr>
            </w:pPr>
            <w:r>
              <w:rPr>
                <w:rFonts w:ascii="Arial" w:cs="Arial" w:eastAsia="Arial" w:hAnsi="Arial"/>
                <w:sz w:val="14"/>
                <w:szCs w:val="14"/>
                <w:color w:val="1A475F"/>
              </w:rPr>
              <w:t>Current # of Public Company Boards (including Company)</w:t>
            </w:r>
          </w:p>
        </w:tc>
        <w:tc>
          <w:tcPr>
            <w:tcW w:w="500" w:type="dxa"/>
            <w:vAlign w:val="bottom"/>
            <w:tcBorders>
              <w:top w:val="single" w:sz="8" w:color="1A475F"/>
              <w:right w:val="single" w:sz="8" w:color="1A475F"/>
            </w:tcBorders>
          </w:tcPr>
          <w:p>
            <w:pPr>
              <w:jc w:val="center"/>
              <w:spacing w:after="0"/>
              <w:rPr>
                <w:sz w:val="20"/>
                <w:szCs w:val="20"/>
                <w:color w:val="auto"/>
              </w:rPr>
            </w:pPr>
            <w:r>
              <w:rPr>
                <w:rFonts w:ascii="Arial" w:cs="Arial" w:eastAsia="Arial" w:hAnsi="Arial"/>
                <w:sz w:val="15"/>
                <w:szCs w:val="15"/>
                <w:color w:val="1A475F"/>
                <w:w w:val="98"/>
              </w:rPr>
              <w:t xml:space="preserve">  3   </w:t>
            </w:r>
          </w:p>
        </w:tc>
        <w:tc>
          <w:tcPr>
            <w:tcW w:w="480" w:type="dxa"/>
            <w:vAlign w:val="bottom"/>
            <w:tcBorders>
              <w:top w:val="single" w:sz="8" w:color="1A475F"/>
              <w:right w:val="single" w:sz="8" w:color="1A475F"/>
            </w:tcBorders>
          </w:tcPr>
          <w:p>
            <w:pPr>
              <w:jc w:val="center"/>
              <w:spacing w:after="0"/>
              <w:rPr>
                <w:sz w:val="20"/>
                <w:szCs w:val="20"/>
                <w:color w:val="auto"/>
              </w:rPr>
            </w:pPr>
            <w:r>
              <w:rPr>
                <w:rFonts w:ascii="Arial" w:cs="Arial" w:eastAsia="Arial" w:hAnsi="Arial"/>
                <w:sz w:val="15"/>
                <w:szCs w:val="15"/>
                <w:color w:val="1A475F"/>
                <w:w w:val="76"/>
              </w:rPr>
              <w:t>  1  </w:t>
            </w:r>
          </w:p>
        </w:tc>
        <w:tc>
          <w:tcPr>
            <w:tcW w:w="480" w:type="dxa"/>
            <w:vAlign w:val="bottom"/>
            <w:tcBorders>
              <w:top w:val="single" w:sz="8" w:color="1A475F"/>
              <w:right w:val="single" w:sz="8" w:color="1A475F"/>
            </w:tcBorders>
          </w:tcPr>
          <w:p>
            <w:pPr>
              <w:jc w:val="center"/>
              <w:spacing w:after="0"/>
              <w:rPr>
                <w:sz w:val="20"/>
                <w:szCs w:val="20"/>
                <w:color w:val="auto"/>
              </w:rPr>
            </w:pPr>
            <w:r>
              <w:rPr>
                <w:rFonts w:ascii="Arial" w:cs="Arial" w:eastAsia="Arial" w:hAnsi="Arial"/>
                <w:sz w:val="15"/>
                <w:szCs w:val="15"/>
                <w:color w:val="1A475F"/>
              </w:rPr>
              <w:t xml:space="preserve">  4   </w:t>
            </w:r>
          </w:p>
        </w:tc>
        <w:tc>
          <w:tcPr>
            <w:tcW w:w="480" w:type="dxa"/>
            <w:vAlign w:val="bottom"/>
            <w:tcBorders>
              <w:top w:val="single" w:sz="8" w:color="1A475F"/>
              <w:right w:val="single" w:sz="8" w:color="1A475F"/>
            </w:tcBorders>
          </w:tcPr>
          <w:p>
            <w:pPr>
              <w:jc w:val="center"/>
              <w:spacing w:after="0"/>
              <w:rPr>
                <w:sz w:val="20"/>
                <w:szCs w:val="20"/>
                <w:color w:val="auto"/>
              </w:rPr>
            </w:pPr>
            <w:r>
              <w:rPr>
                <w:rFonts w:ascii="Arial" w:cs="Arial" w:eastAsia="Arial" w:hAnsi="Arial"/>
                <w:sz w:val="15"/>
                <w:szCs w:val="15"/>
                <w:color w:val="1A475F"/>
              </w:rPr>
              <w:t xml:space="preserve">  2   </w:t>
            </w:r>
          </w:p>
        </w:tc>
        <w:tc>
          <w:tcPr>
            <w:tcW w:w="460" w:type="dxa"/>
            <w:vAlign w:val="bottom"/>
            <w:tcBorders>
              <w:top w:val="single" w:sz="8" w:color="1A475F"/>
              <w:right w:val="single" w:sz="8" w:color="1A475F"/>
            </w:tcBorders>
          </w:tcPr>
          <w:p>
            <w:pPr>
              <w:jc w:val="center"/>
              <w:spacing w:after="0"/>
              <w:rPr>
                <w:sz w:val="20"/>
                <w:szCs w:val="20"/>
                <w:color w:val="auto"/>
              </w:rPr>
            </w:pPr>
            <w:r>
              <w:rPr>
                <w:rFonts w:ascii="Arial" w:cs="Arial" w:eastAsia="Arial" w:hAnsi="Arial"/>
                <w:sz w:val="15"/>
                <w:szCs w:val="15"/>
                <w:color w:val="1A475F"/>
                <w:w w:val="76"/>
              </w:rPr>
              <w:t>  2  </w:t>
            </w:r>
          </w:p>
        </w:tc>
        <w:tc>
          <w:tcPr>
            <w:tcW w:w="460" w:type="dxa"/>
            <w:vAlign w:val="bottom"/>
            <w:tcBorders>
              <w:top w:val="single" w:sz="8" w:color="1A475F"/>
              <w:right w:val="single" w:sz="8" w:color="1A475F"/>
            </w:tcBorders>
          </w:tcPr>
          <w:p>
            <w:pPr>
              <w:jc w:val="center"/>
              <w:spacing w:after="0"/>
              <w:rPr>
                <w:sz w:val="20"/>
                <w:szCs w:val="20"/>
                <w:color w:val="auto"/>
              </w:rPr>
            </w:pPr>
            <w:r>
              <w:rPr>
                <w:rFonts w:ascii="Arial" w:cs="Arial" w:eastAsia="Arial" w:hAnsi="Arial"/>
                <w:sz w:val="15"/>
                <w:szCs w:val="15"/>
                <w:color w:val="1A475F"/>
                <w:w w:val="70"/>
              </w:rPr>
              <w:t>  1  </w:t>
            </w:r>
          </w:p>
        </w:tc>
        <w:tc>
          <w:tcPr>
            <w:tcW w:w="460" w:type="dxa"/>
            <w:vAlign w:val="bottom"/>
            <w:tcBorders>
              <w:top w:val="single" w:sz="8" w:color="1A475F"/>
              <w:right w:val="single" w:sz="8" w:color="1A475F"/>
            </w:tcBorders>
          </w:tcPr>
          <w:p>
            <w:pPr>
              <w:jc w:val="center"/>
              <w:spacing w:after="0"/>
              <w:rPr>
                <w:sz w:val="20"/>
                <w:szCs w:val="20"/>
                <w:color w:val="auto"/>
              </w:rPr>
            </w:pPr>
            <w:r>
              <w:rPr>
                <w:rFonts w:ascii="Arial" w:cs="Arial" w:eastAsia="Arial" w:hAnsi="Arial"/>
                <w:sz w:val="15"/>
                <w:szCs w:val="15"/>
                <w:color w:val="1A475F"/>
                <w:w w:val="76"/>
              </w:rPr>
              <w:t>  3  </w:t>
            </w:r>
          </w:p>
        </w:tc>
        <w:tc>
          <w:tcPr>
            <w:tcW w:w="460" w:type="dxa"/>
            <w:vAlign w:val="bottom"/>
            <w:tcBorders>
              <w:top w:val="single" w:sz="8" w:color="1A475F"/>
              <w:right w:val="single" w:sz="8" w:color="1A475F"/>
            </w:tcBorders>
          </w:tcPr>
          <w:p>
            <w:pPr>
              <w:jc w:val="center"/>
              <w:ind w:left="3"/>
              <w:spacing w:after="0"/>
              <w:rPr>
                <w:sz w:val="20"/>
                <w:szCs w:val="20"/>
                <w:color w:val="auto"/>
              </w:rPr>
            </w:pPr>
            <w:r>
              <w:rPr>
                <w:rFonts w:ascii="Arial" w:cs="Arial" w:eastAsia="Arial" w:hAnsi="Arial"/>
                <w:sz w:val="15"/>
                <w:szCs w:val="15"/>
                <w:color w:val="1A475F"/>
              </w:rPr>
              <w:t xml:space="preserve">  1   </w:t>
            </w:r>
          </w:p>
        </w:tc>
        <w:tc>
          <w:tcPr>
            <w:tcW w:w="460" w:type="dxa"/>
            <w:vAlign w:val="bottom"/>
            <w:tcBorders>
              <w:top w:val="single" w:sz="8" w:color="1A475F"/>
            </w:tcBorders>
          </w:tcPr>
          <w:p>
            <w:pPr>
              <w:jc w:val="center"/>
              <w:spacing w:after="0"/>
              <w:rPr>
                <w:sz w:val="20"/>
                <w:szCs w:val="20"/>
                <w:color w:val="auto"/>
              </w:rPr>
            </w:pPr>
            <w:r>
              <w:rPr>
                <w:rFonts w:ascii="Arial" w:cs="Arial" w:eastAsia="Arial" w:hAnsi="Arial"/>
                <w:sz w:val="15"/>
                <w:szCs w:val="15"/>
                <w:color w:val="1A475F"/>
              </w:rPr>
              <w:t xml:space="preserve">  2   </w:t>
            </w:r>
          </w:p>
        </w:tc>
      </w:tr>
      <w:tr>
        <w:trPr>
          <w:trHeight w:val="20"/>
        </w:trPr>
        <w:tc>
          <w:tcPr>
            <w:tcW w:w="5220" w:type="dxa"/>
            <w:vAlign w:val="bottom"/>
            <w:tcBorders>
              <w:right w:val="single" w:sz="8" w:color="1A475F"/>
            </w:tcBorders>
            <w:shd w:val="clear" w:color="auto" w:fill="1A475F"/>
          </w:tcPr>
          <w:p>
            <w:pPr>
              <w:spacing w:after="0" w:line="20" w:lineRule="exact"/>
              <w:rPr>
                <w:sz w:val="1"/>
                <w:szCs w:val="1"/>
                <w:color w:val="auto"/>
              </w:rPr>
            </w:pPr>
          </w:p>
        </w:tc>
        <w:tc>
          <w:tcPr>
            <w:tcW w:w="500" w:type="dxa"/>
            <w:vAlign w:val="bottom"/>
            <w:tcBorders>
              <w:right w:val="single" w:sz="8" w:color="1A475F"/>
            </w:tcBorders>
            <w:shd w:val="clear" w:color="auto" w:fill="1A475F"/>
          </w:tcPr>
          <w:p>
            <w:pPr>
              <w:spacing w:after="0" w:line="20" w:lineRule="exact"/>
              <w:rPr>
                <w:sz w:val="1"/>
                <w:szCs w:val="1"/>
                <w:color w:val="auto"/>
              </w:rPr>
            </w:pPr>
          </w:p>
        </w:tc>
        <w:tc>
          <w:tcPr>
            <w:tcW w:w="480" w:type="dxa"/>
            <w:vAlign w:val="bottom"/>
            <w:tcBorders>
              <w:right w:val="single" w:sz="8" w:color="1A475F"/>
            </w:tcBorders>
            <w:shd w:val="clear" w:color="auto" w:fill="1A475F"/>
          </w:tcPr>
          <w:p>
            <w:pPr>
              <w:spacing w:after="0" w:line="20" w:lineRule="exact"/>
              <w:rPr>
                <w:sz w:val="1"/>
                <w:szCs w:val="1"/>
                <w:color w:val="auto"/>
              </w:rPr>
            </w:pPr>
          </w:p>
        </w:tc>
        <w:tc>
          <w:tcPr>
            <w:tcW w:w="480" w:type="dxa"/>
            <w:vAlign w:val="bottom"/>
            <w:tcBorders>
              <w:right w:val="single" w:sz="8" w:color="1A475F"/>
            </w:tcBorders>
            <w:shd w:val="clear" w:color="auto" w:fill="1A475F"/>
          </w:tcPr>
          <w:p>
            <w:pPr>
              <w:spacing w:after="0" w:line="20" w:lineRule="exact"/>
              <w:rPr>
                <w:sz w:val="1"/>
                <w:szCs w:val="1"/>
                <w:color w:val="auto"/>
              </w:rPr>
            </w:pPr>
          </w:p>
        </w:tc>
        <w:tc>
          <w:tcPr>
            <w:tcW w:w="480" w:type="dxa"/>
            <w:vAlign w:val="bottom"/>
            <w:tcBorders>
              <w:right w:val="single" w:sz="8" w:color="1A475F"/>
            </w:tcBorders>
            <w:shd w:val="clear" w:color="auto" w:fill="1A475F"/>
          </w:tcPr>
          <w:p>
            <w:pPr>
              <w:spacing w:after="0" w:line="20" w:lineRule="exact"/>
              <w:rPr>
                <w:sz w:val="1"/>
                <w:szCs w:val="1"/>
                <w:color w:val="auto"/>
              </w:rPr>
            </w:pPr>
          </w:p>
        </w:tc>
        <w:tc>
          <w:tcPr>
            <w:tcW w:w="460" w:type="dxa"/>
            <w:vAlign w:val="bottom"/>
            <w:tcBorders>
              <w:right w:val="single" w:sz="8" w:color="1A475F"/>
            </w:tcBorders>
            <w:shd w:val="clear" w:color="auto" w:fill="1A475F"/>
          </w:tcPr>
          <w:p>
            <w:pPr>
              <w:spacing w:after="0" w:line="20" w:lineRule="exact"/>
              <w:rPr>
                <w:sz w:val="1"/>
                <w:szCs w:val="1"/>
                <w:color w:val="auto"/>
              </w:rPr>
            </w:pPr>
          </w:p>
        </w:tc>
        <w:tc>
          <w:tcPr>
            <w:tcW w:w="460" w:type="dxa"/>
            <w:vAlign w:val="bottom"/>
            <w:tcBorders>
              <w:right w:val="single" w:sz="8" w:color="1A475F"/>
            </w:tcBorders>
            <w:shd w:val="clear" w:color="auto" w:fill="1A475F"/>
          </w:tcPr>
          <w:p>
            <w:pPr>
              <w:spacing w:after="0" w:line="20" w:lineRule="exact"/>
              <w:rPr>
                <w:sz w:val="1"/>
                <w:szCs w:val="1"/>
                <w:color w:val="auto"/>
              </w:rPr>
            </w:pPr>
          </w:p>
        </w:tc>
        <w:tc>
          <w:tcPr>
            <w:tcW w:w="460" w:type="dxa"/>
            <w:vAlign w:val="bottom"/>
            <w:tcBorders>
              <w:right w:val="single" w:sz="8" w:color="1A475F"/>
            </w:tcBorders>
            <w:shd w:val="clear" w:color="auto" w:fill="1A475F"/>
          </w:tcPr>
          <w:p>
            <w:pPr>
              <w:spacing w:after="0" w:line="20" w:lineRule="exact"/>
              <w:rPr>
                <w:sz w:val="1"/>
                <w:szCs w:val="1"/>
                <w:color w:val="auto"/>
              </w:rPr>
            </w:pPr>
          </w:p>
        </w:tc>
        <w:tc>
          <w:tcPr>
            <w:tcW w:w="460" w:type="dxa"/>
            <w:vAlign w:val="bottom"/>
            <w:tcBorders>
              <w:right w:val="single" w:sz="8" w:color="1A475F"/>
            </w:tcBorders>
            <w:shd w:val="clear" w:color="auto" w:fill="1A475F"/>
          </w:tcPr>
          <w:p>
            <w:pPr>
              <w:spacing w:after="0" w:line="20" w:lineRule="exact"/>
              <w:rPr>
                <w:sz w:val="1"/>
                <w:szCs w:val="1"/>
                <w:color w:val="auto"/>
              </w:rPr>
            </w:pPr>
          </w:p>
        </w:tc>
        <w:tc>
          <w:tcPr>
            <w:tcW w:w="460" w:type="dxa"/>
            <w:vAlign w:val="bottom"/>
            <w:shd w:val="clear" w:color="auto" w:fill="1A475F"/>
          </w:tcPr>
          <w:p>
            <w:pPr>
              <w:spacing w:after="0" w:line="20" w:lineRule="exact"/>
              <w:rPr>
                <w:sz w:val="1"/>
                <w:szCs w:val="1"/>
                <w:color w:val="auto"/>
              </w:rPr>
            </w:pPr>
          </w:p>
        </w:tc>
      </w:tr>
    </w:tbl>
    <w:p>
      <w:pPr>
        <w:spacing w:after="0" w:line="111"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20</w:t>
        <w:tab/>
        <w:t>|    Bright Horizons </w:t>
      </w:r>
    </w:p>
    <w:p>
      <w:pPr>
        <w:sectPr>
          <w:pgSz w:w="11900" w:h="16838" w:orient="portrait"/>
          <w:cols w:equalWidth="0" w:num="1">
            <w:col w:w="10360"/>
          </w:cols>
          <w:pgMar w:left="320" w:top="433" w:right="1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189230</wp:posOffset>
            </wp:positionV>
            <wp:extent cx="5997575" cy="161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97575" cy="161925"/>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Board Independence</w:t>
      </w:r>
    </w:p>
    <w:p>
      <w:pPr>
        <w:spacing w:after="0" w:line="235" w:lineRule="exact"/>
        <w:rPr>
          <w:sz w:val="20"/>
          <w:szCs w:val="20"/>
          <w:color w:val="auto"/>
        </w:rPr>
      </w:pPr>
    </w:p>
    <w:p>
      <w:pPr>
        <w:ind w:left="1460"/>
        <w:spacing w:after="0"/>
        <w:rPr>
          <w:sz w:val="20"/>
          <w:szCs w:val="20"/>
          <w:color w:val="auto"/>
        </w:rPr>
      </w:pPr>
      <w:r>
        <w:rPr>
          <w:rFonts w:ascii="Arial" w:cs="Arial" w:eastAsia="Arial" w:hAnsi="Arial"/>
          <w:sz w:val="15"/>
          <w:szCs w:val="15"/>
          <w:color w:val="1A475F"/>
        </w:rPr>
        <w:t>     Our Corporate Governance Guidelines provide that the Board shall consist of such number of</w:t>
      </w:r>
    </w:p>
    <w:p>
      <w:pPr>
        <w:spacing w:after="0" w:line="15" w:lineRule="exact"/>
        <w:rPr>
          <w:sz w:val="20"/>
          <w:szCs w:val="20"/>
          <w:color w:val="auto"/>
        </w:rPr>
      </w:pPr>
    </w:p>
    <w:p>
      <w:pPr>
        <w:ind w:left="900" w:right="180"/>
        <w:spacing w:after="0" w:line="241" w:lineRule="auto"/>
        <w:rPr>
          <w:sz w:val="20"/>
          <w:szCs w:val="20"/>
          <w:color w:val="auto"/>
        </w:rPr>
      </w:pPr>
      <w:r>
        <w:rPr>
          <w:rFonts w:ascii="Arial" w:cs="Arial" w:eastAsia="Arial" w:hAnsi="Arial"/>
          <w:sz w:val="15"/>
          <w:szCs w:val="15"/>
          <w:color w:val="1A475F"/>
        </w:rPr>
        <w:t xml:space="preserve">directors who are independent as is required and determined in accordance with applicable laws, rules, and </w:t>
      </w:r>
      <w:r>
        <w:rPr>
          <w:rFonts w:ascii="Arial" w:cs="Arial" w:eastAsia="Arial" w:hAnsi="Arial"/>
          <w:sz w:val="15"/>
          <w:szCs w:val="15"/>
          <w:b w:val="1"/>
          <w:bCs w:val="1"/>
          <w:color w:val="1A475F"/>
        </w:rPr>
        <w:t>Board Independence</w:t>
      </w:r>
      <w:r>
        <w:rPr>
          <w:rFonts w:ascii="Arial" w:cs="Arial" w:eastAsia="Arial" w:hAnsi="Arial"/>
          <w:sz w:val="15"/>
          <w:szCs w:val="15"/>
          <w:color w:val="1A475F"/>
        </w:rPr>
        <w:t xml:space="preserve"> regulations in addition to the requirements of the applicable NYSE Rules for director independence.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-27940</wp:posOffset>
            </wp:positionV>
            <wp:extent cx="882015" cy="8743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2015" cy="874395"/>
                    </a:xfrm>
                    <a:prstGeom prst="rect">
                      <a:avLst/>
                    </a:prstGeom>
                    <a:noFill/>
                  </pic:spPr>
                </pic:pic>
              </a:graphicData>
            </a:graphic>
          </wp:anchor>
        </w:drawing>
      </w:r>
    </w:p>
    <w:p>
      <w:pPr>
        <w:ind w:left="900" w:right="2060"/>
        <w:spacing w:after="0" w:line="244" w:lineRule="auto"/>
        <w:rPr>
          <w:sz w:val="20"/>
          <w:szCs w:val="20"/>
          <w:color w:val="auto"/>
        </w:rPr>
      </w:pPr>
      <w:r>
        <w:rPr>
          <w:rFonts w:ascii="Arial" w:cs="Arial" w:eastAsia="Arial" w:hAnsi="Arial"/>
          <w:sz w:val="15"/>
          <w:szCs w:val="15"/>
          <w:color w:val="1A475F"/>
        </w:rPr>
        <w:t>making its independence determinations, the Board evaluates relationships of each director and nominee with Bright Horizons and makes an affirmative determination whether or not such director or nominee is independent. The Board considers, among other things, whether that person has a relationship that would interfere with the exercise of independent judgment in carrying out a director’s responsibilities and the Board reviews relationships and transactions between each non-employee director and nominee or any member of his or her immediate family and Bright Horizons to determine whether there are any such relationships or transactions and, if so, whether they are inconsistent with a determination that the director or nominee was independent. There are no family relationships among any of the current directors, nominees, and executive officers of the Company.</w:t>
      </w:r>
    </w:p>
    <w:p>
      <w:pPr>
        <w:spacing w:after="0" w:line="156" w:lineRule="exact"/>
        <w:rPr>
          <w:sz w:val="20"/>
          <w:szCs w:val="20"/>
          <w:color w:val="auto"/>
        </w:rPr>
      </w:pPr>
    </w:p>
    <w:p>
      <w:pPr>
        <w:ind w:left="900" w:right="160" w:firstLine="557"/>
        <w:spacing w:after="0" w:line="282" w:lineRule="auto"/>
        <w:tabs>
          <w:tab w:leader="none" w:pos="1610" w:val="left"/>
        </w:tabs>
        <w:numPr>
          <w:ilvl w:val="0"/>
          <w:numId w:val="28"/>
        </w:numPr>
        <w:rPr>
          <w:rFonts w:ascii="Arial" w:cs="Arial" w:eastAsia="Arial" w:hAnsi="Arial"/>
          <w:sz w:val="15"/>
          <w:szCs w:val="15"/>
          <w:color w:val="1A475F"/>
        </w:rPr>
      </w:pPr>
      <w:r>
        <w:rPr>
          <w:rFonts w:ascii="Arial" w:cs="Arial" w:eastAsia="Arial" w:hAnsi="Arial"/>
          <w:sz w:val="15"/>
          <w:szCs w:val="15"/>
          <w:color w:val="1A475F"/>
        </w:rPr>
        <w:t>  As a result of this review, the Board has affirmatively determined that all directors, with the exception of Mr. Kramer, our Chief Executive Officer, are independent under the governance and listing standards of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104775</wp:posOffset>
            </wp:positionV>
            <wp:extent cx="5997575" cy="183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18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Board and Committee Annual Performance Reviews, Peer Reviews and Self-Assessments</w:t>
      </w:r>
    </w:p>
    <w:p>
      <w:pPr>
        <w:spacing w:after="0" w:line="154" w:lineRule="exact"/>
        <w:rPr>
          <w:sz w:val="20"/>
          <w:szCs w:val="20"/>
          <w:color w:val="auto"/>
        </w:rPr>
      </w:pPr>
    </w:p>
    <w:p>
      <w:pPr>
        <w:ind w:left="900" w:firstLine="756"/>
        <w:spacing w:after="0" w:line="251" w:lineRule="auto"/>
        <w:rPr>
          <w:sz w:val="20"/>
          <w:szCs w:val="20"/>
          <w:color w:val="auto"/>
        </w:rPr>
      </w:pPr>
      <w:r>
        <w:rPr>
          <w:rFonts w:ascii="Arial" w:cs="Arial" w:eastAsia="Arial" w:hAnsi="Arial"/>
          <w:sz w:val="15"/>
          <w:szCs w:val="15"/>
          <w:color w:val="1A475F"/>
        </w:rPr>
        <w:t>Our Corporate Governance Guidelines provide that the Board is responsible for conducting a self-evaluation of the Board on an annual basis. In addition, the written charters of each of the Audit, Compensation and Nominating and Corporate Governance Committees provide that each committee shall evaluate its performance on an annual basis. During 2025, the Board and each committee conducted a self-evaluation pursuant to these requirements. Each committee and the full Board continuously review progress with respect to any identified areas for improvement.</w:t>
      </w:r>
    </w:p>
    <w:p>
      <w:pPr>
        <w:spacing w:after="0" w:line="59" w:lineRule="exact"/>
        <w:rPr>
          <w:sz w:val="20"/>
          <w:szCs w:val="20"/>
          <w:color w:val="auto"/>
        </w:rPr>
      </w:pPr>
    </w:p>
    <w:p>
      <w:pPr>
        <w:ind w:left="900" w:right="160" w:firstLine="756"/>
        <w:spacing w:after="0" w:line="261" w:lineRule="auto"/>
        <w:rPr>
          <w:sz w:val="20"/>
          <w:szCs w:val="20"/>
          <w:color w:val="auto"/>
        </w:rPr>
      </w:pPr>
      <w:r>
        <w:rPr>
          <w:rFonts w:ascii="Arial" w:cs="Arial" w:eastAsia="Arial" w:hAnsi="Arial"/>
          <w:sz w:val="15"/>
          <w:szCs w:val="15"/>
          <w:color w:val="1A475F"/>
        </w:rPr>
        <w:t>The Board conducts an individual director assessment and peer review annually to enhance director development, accountability and leadership planning. The Board views this annual individual self-assessment and peer review as an integral part of its commitment to continuous improvement and achieving high levels of Board and committee performance.</w:t>
      </w:r>
    </w:p>
    <w:p>
      <w:pPr>
        <w:spacing w:after="0" w:line="51"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Below is a synopsis of the individual director self-assessment and peer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142240</wp:posOffset>
            </wp:positionV>
            <wp:extent cx="5997575" cy="1859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9757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Director Nominations</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Criteria and Process of Identifying and Evaluating Candidates for Consideration as a Director Nominee</w:t>
      </w:r>
    </w:p>
    <w:p>
      <w:pPr>
        <w:spacing w:after="0" w:line="94" w:lineRule="exact"/>
        <w:rPr>
          <w:sz w:val="20"/>
          <w:szCs w:val="20"/>
          <w:color w:val="auto"/>
        </w:rPr>
      </w:pPr>
    </w:p>
    <w:p>
      <w:pPr>
        <w:ind w:left="900" w:right="20" w:firstLine="756"/>
        <w:spacing w:after="0" w:line="251" w:lineRule="auto"/>
        <w:rPr>
          <w:sz w:val="20"/>
          <w:szCs w:val="20"/>
          <w:color w:val="auto"/>
        </w:rPr>
      </w:pPr>
      <w:r>
        <w:rPr>
          <w:rFonts w:ascii="Arial" w:cs="Arial" w:eastAsia="Arial" w:hAnsi="Arial"/>
          <w:sz w:val="15"/>
          <w:szCs w:val="15"/>
          <w:color w:val="1A475F"/>
        </w:rPr>
        <w:t>The Nominating and Corporate Governance Committee is responsible for recommending candidates to stand for election to the Board at the Company’s annual meeting of shareholders and for recommending candidates to fill vacancies on the Board that may occur between annual meetings. The Nominating and Corporate Governance Committee receives suggestions for new directors from a number of sources, including other Board members and our Chief Executive Officer. It also may, in its discretion, employ a third-party search firm to assist in identifying candidates for director. It is the policy of the Board that directors should possess the highest personal and</w:t>
      </w:r>
    </w:p>
    <w:p>
      <w:pPr>
        <w:spacing w:after="0" w:line="92"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21</w:t>
      </w:r>
    </w:p>
    <w:p>
      <w:pPr>
        <w:sectPr>
          <w:pgSz w:w="11900" w:h="16838" w:orient="portrait"/>
          <w:cols w:equalWidth="0" w:num="1">
            <w:col w:w="10340"/>
          </w:cols>
          <w:pgMar w:left="320" w:top="433" w:right="1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right="140"/>
        <w:spacing w:after="0" w:line="282" w:lineRule="auto"/>
        <w:rPr>
          <w:sz w:val="20"/>
          <w:szCs w:val="20"/>
          <w:color w:val="auto"/>
        </w:rPr>
      </w:pPr>
      <w:r>
        <w:rPr>
          <w:rFonts w:ascii="Arial" w:cs="Arial" w:eastAsia="Arial" w:hAnsi="Arial"/>
          <w:sz w:val="15"/>
          <w:szCs w:val="15"/>
          <w:color w:val="1A475F"/>
        </w:rPr>
        <w:t>professional ethics, integrity and values. Board members are expected to become and remain informed about the Company, its business and its industry and rigorously prepare for, attend and participate in all Board and applicable committee meetings.</w:t>
      </w:r>
    </w:p>
    <w:p>
      <w:pPr>
        <w:spacing w:after="0" w:line="35" w:lineRule="exact"/>
        <w:rPr>
          <w:sz w:val="20"/>
          <w:szCs w:val="20"/>
          <w:color w:val="auto"/>
        </w:rPr>
      </w:pPr>
    </w:p>
    <w:p>
      <w:pPr>
        <w:ind w:left="900" w:firstLine="756"/>
        <w:spacing w:after="0" w:line="251" w:lineRule="auto"/>
        <w:rPr>
          <w:sz w:val="20"/>
          <w:szCs w:val="20"/>
          <w:color w:val="auto"/>
        </w:rPr>
      </w:pPr>
      <w:r>
        <w:rPr>
          <w:rFonts w:ascii="Arial" w:cs="Arial" w:eastAsia="Arial" w:hAnsi="Arial"/>
          <w:sz w:val="15"/>
          <w:szCs w:val="15"/>
          <w:color w:val="1A475F"/>
        </w:rPr>
        <w:t>The Nominating and Corporate Governance Committee evaluates each individual in the context of the skills, character, background and expertise of the Board as a whole, with the objective of recommending a group that can best continue the success of our business and represent shareholder interests through the exercise of sound judgment using its breadth of experience. The Board seeks the best director candidates based on the skills and characteristics required without regard to race, color, national origin, religion, disability, marital status, age, sexual orientation, gender, gender identity and expression, or any other basis protected by federal, state or local law.</w:t>
      </w:r>
    </w:p>
    <w:p>
      <w:pPr>
        <w:spacing w:after="0" w:line="59" w:lineRule="exact"/>
        <w:rPr>
          <w:sz w:val="20"/>
          <w:szCs w:val="20"/>
          <w:color w:val="auto"/>
        </w:rPr>
      </w:pPr>
    </w:p>
    <w:p>
      <w:pPr>
        <w:ind w:left="900" w:firstLine="756"/>
        <w:spacing w:after="0" w:line="282" w:lineRule="auto"/>
        <w:rPr>
          <w:sz w:val="20"/>
          <w:szCs w:val="20"/>
          <w:color w:val="auto"/>
        </w:rPr>
      </w:pPr>
      <w:r>
        <w:rPr>
          <w:rFonts w:ascii="Arial" w:cs="Arial" w:eastAsia="Arial" w:hAnsi="Arial"/>
          <w:sz w:val="15"/>
          <w:szCs w:val="15"/>
          <w:color w:val="1A475F"/>
        </w:rPr>
        <w:t>The Nominating and Corporate Governance Committee considers, in light of our business, each director nominee’s experience, qualifications, attributes and skills that are identified in the biographical information contained under “Proposal 1—Election of Directors.”</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Procedures for Recommendation of Director Nominees by Shareholders</w:t>
      </w:r>
    </w:p>
    <w:p>
      <w:pPr>
        <w:spacing w:after="0" w:line="94" w:lineRule="exact"/>
        <w:rPr>
          <w:sz w:val="20"/>
          <w:szCs w:val="20"/>
          <w:color w:val="auto"/>
        </w:rPr>
      </w:pPr>
    </w:p>
    <w:p>
      <w:pPr>
        <w:ind w:left="900" w:right="100" w:firstLine="756"/>
        <w:spacing w:after="0" w:line="246" w:lineRule="auto"/>
        <w:rPr>
          <w:sz w:val="20"/>
          <w:szCs w:val="20"/>
          <w:color w:val="auto"/>
        </w:rPr>
      </w:pPr>
      <w:r>
        <w:rPr>
          <w:rFonts w:ascii="Arial" w:cs="Arial" w:eastAsia="Arial" w:hAnsi="Arial"/>
          <w:sz w:val="15"/>
          <w:szCs w:val="15"/>
          <w:color w:val="1A475F"/>
        </w:rPr>
        <w:t>The Nominating and Corporate Governance Committee considers properly submitted recommendations for candidates to the Board from shareholders in accordance with our Bylaws. Any shareholder may submit in writing a candidate for consideration for each shareholder meeting at which directors are to be elected by no later than the close of business on the 90th day nor earlier than the close of business on the 120th day prior to the anniversary date of the prior year’s annual meeting. Any shareholder recommendations for consideration by the Nominating and Corporate Governance Committee should include the candidate’s name, biographical information, and the information required by Section 1.2 of our Bylaws. Recommendations should be sent to c/o Corporate Secretary, Bright Horizons Family Solutions Inc., 2 Wells Avenue, Newton, MA 02459. The Nominating and Corporate Governance Committee evaluates candidates for the position of director recommended by shareholders or others in the same manner as candidates from other sources. The Nominating and Corporate Governance Committee will determine whether to interview any candidates and may seek additional information about candidates from third-party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121285</wp:posOffset>
            </wp:positionV>
            <wp:extent cx="5997575" cy="183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13"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Majority Voting</w:t>
      </w:r>
    </w:p>
    <w:p>
      <w:pPr>
        <w:spacing w:after="0" w:line="154" w:lineRule="exact"/>
        <w:rPr>
          <w:sz w:val="20"/>
          <w:szCs w:val="20"/>
          <w:color w:val="auto"/>
        </w:rPr>
      </w:pPr>
    </w:p>
    <w:p>
      <w:pPr>
        <w:ind w:left="900" w:right="200" w:firstLine="756"/>
        <w:spacing w:after="0" w:line="251" w:lineRule="auto"/>
        <w:rPr>
          <w:sz w:val="20"/>
          <w:szCs w:val="20"/>
          <w:color w:val="auto"/>
        </w:rPr>
      </w:pPr>
      <w:r>
        <w:rPr>
          <w:rFonts w:ascii="Arial" w:cs="Arial" w:eastAsia="Arial" w:hAnsi="Arial"/>
          <w:sz w:val="15"/>
          <w:szCs w:val="15"/>
          <w:color w:val="1A475F"/>
        </w:rPr>
        <w:t>Our Bylaws include a majority voting requirement for the election of directors at uncontested meetings of shareholders which we believe increases our Board’s accountability to our shareholders. Under the Company’s majority voting standard, a nominee for director in an uncontested election will be elected to the Board if the votes cast “for” such nominee’s election exceed the votes cast “against” such nominee’s election (disregarding abstentions and broker non-votes). Directors are elected by plurality vote in a contested election of directors (as defined in our Bylaws).</w:t>
      </w:r>
    </w:p>
    <w:p>
      <w:pPr>
        <w:spacing w:after="0" w:line="59" w:lineRule="exact"/>
        <w:rPr>
          <w:sz w:val="20"/>
          <w:szCs w:val="20"/>
          <w:color w:val="auto"/>
        </w:rPr>
      </w:pPr>
    </w:p>
    <w:p>
      <w:pPr>
        <w:ind w:left="900" w:right="60" w:firstLine="756"/>
        <w:spacing w:after="0" w:line="247" w:lineRule="auto"/>
        <w:rPr>
          <w:sz w:val="20"/>
          <w:szCs w:val="20"/>
          <w:color w:val="auto"/>
        </w:rPr>
      </w:pPr>
      <w:r>
        <w:rPr>
          <w:rFonts w:ascii="Arial" w:cs="Arial" w:eastAsia="Arial" w:hAnsi="Arial"/>
          <w:sz w:val="15"/>
          <w:szCs w:val="15"/>
          <w:color w:val="1A475F"/>
        </w:rPr>
        <w:t>Our Bylaws provide that a director who fails to receive at least the majority of votes cast with respect to his or her election will promptly tender his or her resignation to the Board. Based on a recommendation by the Nominating and Corporate Governance Committee, the Board shall act on the resignation, taking into account the committee’s recommendation, and publicly disclose its decision regarding the resignation and the rationale behind the decision, within 90 days following certification of the election results. The Nominating and Corporate Governance Committee, in making its recommendation, and the Board, in making its decision, each may consider any factors and other information that they consider appropriate and relevant. If the Board does not accept the resignation, the incumbent director will continue to serve until the next annual meeting and until his or her successor is duly elected, or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234950</wp:posOffset>
            </wp:positionV>
            <wp:extent cx="5997575" cy="183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391"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Policies Relating to Directors and Limits on Board Service</w:t>
      </w:r>
    </w:p>
    <w:p>
      <w:pPr>
        <w:spacing w:after="0" w:line="154" w:lineRule="exact"/>
        <w:rPr>
          <w:sz w:val="20"/>
          <w:szCs w:val="20"/>
          <w:color w:val="auto"/>
        </w:rPr>
      </w:pPr>
    </w:p>
    <w:p>
      <w:pPr>
        <w:ind w:left="900" w:right="100" w:firstLine="756"/>
        <w:spacing w:after="0" w:line="249" w:lineRule="auto"/>
        <w:rPr>
          <w:sz w:val="20"/>
          <w:szCs w:val="20"/>
          <w:color w:val="auto"/>
        </w:rPr>
      </w:pPr>
      <w:r>
        <w:rPr>
          <w:rFonts w:ascii="Arial" w:cs="Arial" w:eastAsia="Arial" w:hAnsi="Arial"/>
          <w:sz w:val="15"/>
          <w:szCs w:val="15"/>
          <w:color w:val="1A475F"/>
        </w:rPr>
        <w:t>It is our policy that directors, who are also employees of the Company (other than Chief Executive Officer) shall offer their resignation from the Board at the same time they retire from employment with the Company. In addition, it is our policy that directors who retire or otherwise change from the principal occupation or background association they held when they were originally invited to the Board should provide notice to the Board. The Board does not believe that such directors should necessarily leave the Board, but it is our policy that there should be an opportunity for the Board to review the continued appropriateness of such directors’ membership under these circumstances.</w:t>
      </w:r>
    </w:p>
    <w:p>
      <w:pPr>
        <w:spacing w:after="0" w:line="93"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22</w:t>
        <w:tab/>
        <w:t>|    Bright Horizons </w:t>
      </w:r>
    </w:p>
    <w:p>
      <w:pPr>
        <w:sectPr>
          <w:pgSz w:w="11900" w:h="16838" w:orient="portrait"/>
          <w:cols w:equalWidth="0" w:num="1">
            <w:col w:w="10340"/>
          </w:cols>
          <w:pgMar w:left="320" w:top="433" w:right="1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firstLine="756"/>
        <w:spacing w:after="0" w:line="261" w:lineRule="auto"/>
        <w:rPr>
          <w:sz w:val="20"/>
          <w:szCs w:val="20"/>
          <w:color w:val="auto"/>
        </w:rPr>
      </w:pPr>
      <w:r>
        <w:rPr>
          <w:rFonts w:ascii="Arial" w:cs="Arial" w:eastAsia="Arial" w:hAnsi="Arial"/>
          <w:sz w:val="15"/>
          <w:szCs w:val="15"/>
          <w:color w:val="1A475F"/>
        </w:rPr>
        <w:t>We believe that no director should serve on more than four boards of public companies (including our Board) and that our Chief Executive Officer should serve on no more than two boards of public companies (including our Board). All directors currently comply with these requirements.</w:t>
      </w:r>
    </w:p>
    <w:p>
      <w:pPr>
        <w:spacing w:after="0" w:line="77" w:lineRule="exact"/>
        <w:rPr>
          <w:sz w:val="20"/>
          <w:szCs w:val="20"/>
          <w:color w:val="auto"/>
        </w:rPr>
      </w:pPr>
    </w:p>
    <w:tbl>
      <w:tblPr>
        <w:tblLayout w:type="fixed"/>
        <w:tblInd w:w="32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40" w:type="dxa"/>
            <w:vAlign w:val="bottom"/>
            <w:tcBorders>
              <w:bottom w:val="single" w:sz="8" w:color="1A475F"/>
            </w:tcBorders>
            <w:gridSpan w:val="2"/>
            <w:shd w:val="clear" w:color="auto" w:fill="1A475F"/>
          </w:tcPr>
          <w:p>
            <w:pPr>
              <w:ind w:left="1280"/>
              <w:spacing w:after="0"/>
              <w:rPr>
                <w:sz w:val="20"/>
                <w:szCs w:val="20"/>
                <w:color w:val="auto"/>
              </w:rPr>
            </w:pPr>
            <w:r>
              <w:rPr>
                <w:rFonts w:ascii="Arial" w:cs="Arial" w:eastAsia="Arial" w:hAnsi="Arial"/>
                <w:sz w:val="14"/>
                <w:szCs w:val="14"/>
                <w:b w:val="1"/>
                <w:bCs w:val="1"/>
                <w:color w:val="FFFFFF"/>
              </w:rPr>
              <w:t>Current Limits on Board Service</w:t>
            </w:r>
          </w:p>
        </w:tc>
        <w:tc>
          <w:tcPr>
            <w:tcW w:w="780" w:type="dxa"/>
            <w:vAlign w:val="bottom"/>
            <w:tcBorders>
              <w:bottom w:val="single" w:sz="8" w:color="1A475F"/>
            </w:tcBorders>
            <w:shd w:val="clear" w:color="auto" w:fill="1A475F"/>
          </w:tcPr>
          <w:p>
            <w:pPr>
              <w:spacing w:after="0"/>
              <w:rPr>
                <w:sz w:val="19"/>
                <w:szCs w:val="19"/>
                <w:color w:val="auto"/>
              </w:rPr>
            </w:pPr>
          </w:p>
        </w:tc>
      </w:tr>
      <w:tr>
        <w:trPr>
          <w:trHeight w:val="181"/>
        </w:trPr>
        <w:tc>
          <w:tcPr>
            <w:tcW w:w="2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Arial" w:cs="Arial" w:eastAsia="Arial" w:hAnsi="Arial"/>
                <w:sz w:val="15"/>
                <w:szCs w:val="15"/>
                <w:color w:val="1A475F"/>
              </w:rPr>
              <w:t>Directors</w:t>
            </w:r>
          </w:p>
        </w:tc>
        <w:tc>
          <w:tcPr>
            <w:tcW w:w="2180" w:type="dxa"/>
            <w:vAlign w:val="bottom"/>
          </w:tcPr>
          <w:p>
            <w:pPr>
              <w:ind w:left="220"/>
              <w:spacing w:after="0"/>
              <w:rPr>
                <w:sz w:val="20"/>
                <w:szCs w:val="20"/>
                <w:color w:val="auto"/>
              </w:rPr>
            </w:pPr>
            <w:r>
              <w:rPr>
                <w:rFonts w:ascii="Arial" w:cs="Arial" w:eastAsia="Arial" w:hAnsi="Arial"/>
                <w:sz w:val="15"/>
                <w:szCs w:val="15"/>
                <w:color w:val="1A475F"/>
              </w:rPr>
              <w:t>No more than 4</w:t>
            </w:r>
          </w:p>
        </w:tc>
        <w:tc>
          <w:tcPr>
            <w:tcW w:w="780" w:type="dxa"/>
            <w:vAlign w:val="bottom"/>
          </w:tcPr>
          <w:p>
            <w:pPr>
              <w:ind w:left="540"/>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w:t>
            </w:r>
          </w:p>
        </w:tc>
      </w:tr>
      <w:tr>
        <w:trPr>
          <w:trHeight w:val="259"/>
        </w:trPr>
        <w:tc>
          <w:tcPr>
            <w:tcW w:w="1780" w:type="dxa"/>
            <w:vAlign w:val="bottom"/>
            <w:gridSpan w:val="2"/>
          </w:tcPr>
          <w:p>
            <w:pPr>
              <w:spacing w:after="0"/>
              <w:rPr>
                <w:sz w:val="20"/>
                <w:szCs w:val="20"/>
                <w:color w:val="auto"/>
              </w:rPr>
            </w:pPr>
            <w:r>
              <w:rPr>
                <w:rFonts w:ascii="Arial" w:cs="Arial" w:eastAsia="Arial" w:hAnsi="Arial"/>
                <w:sz w:val="15"/>
                <w:szCs w:val="15"/>
                <w:color w:val="1A475F"/>
              </w:rPr>
              <w:t>Chief Executive Officer</w:t>
            </w:r>
          </w:p>
        </w:tc>
        <w:tc>
          <w:tcPr>
            <w:tcW w:w="2180" w:type="dxa"/>
            <w:vAlign w:val="bottom"/>
          </w:tcPr>
          <w:p>
            <w:pPr>
              <w:ind w:left="220"/>
              <w:spacing w:after="0"/>
              <w:rPr>
                <w:sz w:val="20"/>
                <w:szCs w:val="20"/>
                <w:color w:val="auto"/>
              </w:rPr>
            </w:pPr>
            <w:r>
              <w:rPr>
                <w:rFonts w:ascii="Arial" w:cs="Arial" w:eastAsia="Arial" w:hAnsi="Arial"/>
                <w:sz w:val="15"/>
                <w:szCs w:val="15"/>
                <w:color w:val="1A475F"/>
              </w:rPr>
              <w:t>No more than 2</w:t>
            </w:r>
          </w:p>
        </w:tc>
        <w:tc>
          <w:tcPr>
            <w:tcW w:w="780" w:type="dxa"/>
            <w:vAlign w:val="bottom"/>
          </w:tcPr>
          <w:p>
            <w:pPr>
              <w:ind w:left="540"/>
              <w:spacing w:after="0" w:line="173" w:lineRule="exact"/>
              <w:rPr>
                <w:sz w:val="20"/>
                <w:szCs w:val="20"/>
                <w:color w:val="auto"/>
              </w:rPr>
            </w:pPr>
            <w:r>
              <w:rPr>
                <w:rFonts w:ascii="MS PGothic" w:cs="MS PGothic" w:eastAsia="MS PGothic" w:hAnsi="MS PGothic"/>
                <w:sz w:val="15"/>
                <w:szCs w:val="15"/>
                <w:color w:val="1A475F"/>
              </w:rPr>
              <w:t>☑</w:t>
            </w:r>
            <w:r>
              <w:rPr>
                <w:rFonts w:ascii="Arial" w:cs="Arial" w:eastAsia="Arial" w:hAnsi="Arial"/>
                <w:sz w:val="15"/>
                <w:szCs w:val="15"/>
                <w:color w:val="1A475F"/>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117475</wp:posOffset>
            </wp:positionV>
            <wp:extent cx="5997575" cy="183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Director Education</w:t>
      </w:r>
    </w:p>
    <w:p>
      <w:pPr>
        <w:spacing w:after="0" w:line="154" w:lineRule="exact"/>
        <w:rPr>
          <w:sz w:val="20"/>
          <w:szCs w:val="20"/>
          <w:color w:val="auto"/>
        </w:rPr>
      </w:pPr>
    </w:p>
    <w:p>
      <w:pPr>
        <w:ind w:left="900" w:firstLine="756"/>
        <w:spacing w:after="0" w:line="251" w:lineRule="auto"/>
        <w:rPr>
          <w:sz w:val="20"/>
          <w:szCs w:val="20"/>
          <w:color w:val="auto"/>
        </w:rPr>
      </w:pPr>
      <w:r>
        <w:rPr>
          <w:rFonts w:ascii="Arial" w:cs="Arial" w:eastAsia="Arial" w:hAnsi="Arial"/>
          <w:sz w:val="15"/>
          <w:szCs w:val="15"/>
          <w:color w:val="1A475F"/>
        </w:rPr>
        <w:t>Our director orientation and continuing education program consists of visits to Bright Horizons centers, 1:1 meetings with senior leaders, background material on the Company, education regarding our Code of Business Conduct and Ethics and other policies and practices relevant to our business and operations, and meetings with, and presentations by, senior management. In addition, we provide updates on relevant topics of interest to the Board. We also encourage directors to attend director education programs sponsored by various educational institutions and all Board members receive a National Association of Corporate Directors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120015</wp:posOffset>
            </wp:positionV>
            <wp:extent cx="5997575" cy="183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Code of Business Conduct and Ethics</w:t>
      </w:r>
    </w:p>
    <w:p>
      <w:pPr>
        <w:spacing w:after="0" w:line="154" w:lineRule="exact"/>
        <w:rPr>
          <w:sz w:val="20"/>
          <w:szCs w:val="20"/>
          <w:color w:val="auto"/>
        </w:rPr>
      </w:pPr>
    </w:p>
    <w:p>
      <w:pPr>
        <w:ind w:left="900" w:right="100" w:firstLine="756"/>
        <w:spacing w:after="0" w:line="248" w:lineRule="auto"/>
        <w:rPr>
          <w:sz w:val="20"/>
          <w:szCs w:val="20"/>
          <w:color w:val="auto"/>
        </w:rPr>
      </w:pPr>
      <w:r>
        <w:rPr>
          <w:rFonts w:ascii="Arial" w:cs="Arial" w:eastAsia="Arial" w:hAnsi="Arial"/>
          <w:sz w:val="15"/>
          <w:szCs w:val="15"/>
          <w:color w:val="1A475F"/>
        </w:rPr>
        <w:t xml:space="preserve">Bright Horizons demands integrity and is committed to upholding high ethical standards. We have a written Code of Business Conduct and Ethics applicable to all Directors, Officers and Employees, and a written Code of Ethics for Senior Managers and Financial Management Team, which are designed to ensure that our business is conducted with integrity. These codes cover, among other things, professional conduct, conflicts of interest, accurate recordkeeping and reporting, public communications and the protection of confidential information, as well as adherence to laws and regulations applicable to the conduct of our business. Copies of these codes can be found on the Investor Relations section of our website at </w:t>
      </w:r>
      <w:r>
        <w:rPr>
          <w:rFonts w:ascii="Arial" w:cs="Arial" w:eastAsia="Arial" w:hAnsi="Arial"/>
          <w:sz w:val="15"/>
          <w:szCs w:val="15"/>
          <w:i w:val="1"/>
          <w:iCs w:val="1"/>
          <w:color w:val="1A475F"/>
        </w:rPr>
        <w:t>investors.brighthorizons.com</w:t>
      </w:r>
      <w:r>
        <w:rPr>
          <w:rFonts w:ascii="Arial" w:cs="Arial" w:eastAsia="Arial" w:hAnsi="Arial"/>
          <w:sz w:val="15"/>
          <w:szCs w:val="15"/>
          <w:color w:val="1A475F"/>
        </w:rPr>
        <w:t xml:space="preserve"> under “Governance &amp; Responsibility—Governance Documents.”</w:t>
      </w:r>
    </w:p>
    <w:p>
      <w:pPr>
        <w:spacing w:after="0" w:line="60" w:lineRule="exact"/>
        <w:rPr>
          <w:sz w:val="20"/>
          <w:szCs w:val="20"/>
          <w:color w:val="auto"/>
        </w:rPr>
      </w:pPr>
    </w:p>
    <w:p>
      <w:pPr>
        <w:jc w:val="both"/>
        <w:ind w:left="900" w:right="140" w:firstLine="756"/>
        <w:spacing w:after="0" w:line="282" w:lineRule="auto"/>
        <w:rPr>
          <w:sz w:val="20"/>
          <w:szCs w:val="20"/>
          <w:color w:val="auto"/>
        </w:rPr>
      </w:pPr>
      <w:r>
        <w:rPr>
          <w:rFonts w:ascii="Arial" w:cs="Arial" w:eastAsia="Arial" w:hAnsi="Arial"/>
          <w:sz w:val="15"/>
          <w:szCs w:val="15"/>
          <w:color w:val="1A475F"/>
        </w:rPr>
        <w:t>We intend to disclose any future amendments to, or waivers from, these codes of ethics for Bright Horizons executive officers within four business days of the waiver or amendment through a website posting or by filing a Current Report on Form 8-K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104775</wp:posOffset>
            </wp:positionV>
            <wp:extent cx="5997575" cy="183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18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Online Availability of Information and Governance Documents</w:t>
      </w:r>
    </w:p>
    <w:p>
      <w:pPr>
        <w:spacing w:after="0" w:line="154" w:lineRule="exact"/>
        <w:rPr>
          <w:sz w:val="20"/>
          <w:szCs w:val="20"/>
          <w:color w:val="auto"/>
        </w:rPr>
      </w:pPr>
    </w:p>
    <w:p>
      <w:pPr>
        <w:ind w:left="900" w:right="40" w:firstLine="756"/>
        <w:spacing w:after="0" w:line="249" w:lineRule="auto"/>
        <w:rPr>
          <w:sz w:val="20"/>
          <w:szCs w:val="20"/>
          <w:color w:val="auto"/>
        </w:rPr>
      </w:pPr>
      <w:r>
        <w:rPr>
          <w:rFonts w:ascii="Arial" w:cs="Arial" w:eastAsia="Arial" w:hAnsi="Arial"/>
          <w:sz w:val="15"/>
          <w:szCs w:val="15"/>
          <w:color w:val="1A475F"/>
        </w:rPr>
        <w:t xml:space="preserve">The current versions of our Corporate Governance Guidelines, Code of Business Conduct and Ethics applicable to all Directors, Officers and Employees, Code of Ethics for Senior Managers and Financial Management Team and charters for our Audit Committee, Compensation Committee and Nominating and Corporate Governance Committee are available under “Governance &amp; Responsibility—Governance Documents” on the Investor Relations section of our website at </w:t>
      </w:r>
      <w:r>
        <w:rPr>
          <w:rFonts w:ascii="Arial" w:cs="Arial" w:eastAsia="Arial" w:hAnsi="Arial"/>
          <w:sz w:val="15"/>
          <w:szCs w:val="15"/>
          <w:i w:val="1"/>
          <w:iCs w:val="1"/>
          <w:color w:val="1A475F"/>
        </w:rPr>
        <w:t>investors.brighthorizons.com.</w:t>
      </w:r>
      <w:r>
        <w:rPr>
          <w:rFonts w:ascii="Arial" w:cs="Arial" w:eastAsia="Arial" w:hAnsi="Arial"/>
          <w:sz w:val="15"/>
          <w:szCs w:val="15"/>
          <w:color w:val="1A475F"/>
        </w:rPr>
        <w:t xml:space="preserve"> These materials are also available in print free of charge to shareholders upon written request to c/o Corporate Secretary, Bright Horizons Family Solutions Inc., 2 Wells Avenue, Newton, MA 02459.</w:t>
      </w:r>
    </w:p>
    <w:p>
      <w:pPr>
        <w:spacing w:after="0" w:line="93"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23</w:t>
      </w:r>
    </w:p>
    <w:p>
      <w:pPr>
        <w:sectPr>
          <w:pgSz w:w="11900" w:h="16838" w:orient="portrait"/>
          <w:cols w:equalWidth="0" w:num="1">
            <w:col w:w="10340"/>
          </w:cols>
          <w:pgMar w:left="320" w:top="433" w:right="1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1A475F"/>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97575" cy="146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00" w:right="4580" w:firstLine="556"/>
        <w:spacing w:after="0" w:line="261" w:lineRule="auto"/>
        <w:rPr>
          <w:sz w:val="20"/>
          <w:szCs w:val="20"/>
          <w:color w:val="auto"/>
        </w:rPr>
      </w:pPr>
      <w:r>
        <w:rPr>
          <w:rFonts w:ascii="Arial" w:cs="Arial" w:eastAsia="Arial" w:hAnsi="Arial"/>
          <w:sz w:val="15"/>
          <w:szCs w:val="15"/>
          <w:color w:val="1A475F"/>
        </w:rPr>
        <w:t>We know that education and care can change lives, and for 40 years Bright Horizons has been a champion for working families— designing and delivering innovative education and care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-347345</wp:posOffset>
            </wp:positionV>
            <wp:extent cx="2278380" cy="17716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78380" cy="1771650"/>
                    </a:xfrm>
                    <a:prstGeom prst="rect">
                      <a:avLst/>
                    </a:prstGeom>
                    <a:noFill/>
                  </pic:spPr>
                </pic:pic>
              </a:graphicData>
            </a:graphic>
          </wp:anchor>
        </w:drawing>
      </w:r>
    </w:p>
    <w:p>
      <w:pPr>
        <w:spacing w:after="0" w:line="42" w:lineRule="exact"/>
        <w:rPr>
          <w:sz w:val="20"/>
          <w:szCs w:val="20"/>
          <w:color w:val="auto"/>
        </w:rPr>
      </w:pPr>
    </w:p>
    <w:p>
      <w:pPr>
        <w:jc w:val="both"/>
        <w:ind w:left="900" w:right="4680" w:firstLine="556"/>
        <w:spacing w:after="0" w:line="255" w:lineRule="auto"/>
        <w:rPr>
          <w:sz w:val="20"/>
          <w:szCs w:val="20"/>
          <w:color w:val="auto"/>
        </w:rPr>
      </w:pPr>
      <w:r>
        <w:rPr>
          <w:rFonts w:ascii="Arial" w:cs="Arial" w:eastAsia="Arial" w:hAnsi="Arial"/>
          <w:sz w:val="15"/>
          <w:szCs w:val="15"/>
          <w:color w:val="1A475F"/>
        </w:rPr>
        <w:t>Back in 1986, we saw that access to high-quality child care and early education was an obstacle for working parents. Partnering with employers to provide on-site child care centers became just one way we responded to help whole organizations work more effectively.</w:t>
      </w:r>
    </w:p>
    <w:p>
      <w:pPr>
        <w:spacing w:after="0" w:line="66" w:lineRule="exact"/>
        <w:rPr>
          <w:sz w:val="20"/>
          <w:szCs w:val="20"/>
          <w:color w:val="auto"/>
        </w:rPr>
      </w:pPr>
    </w:p>
    <w:p>
      <w:pPr>
        <w:ind w:left="900" w:right="4780" w:firstLine="556"/>
        <w:spacing w:after="0" w:line="249" w:lineRule="auto"/>
        <w:rPr>
          <w:sz w:val="20"/>
          <w:szCs w:val="20"/>
          <w:color w:val="auto"/>
        </w:rPr>
      </w:pPr>
      <w:r>
        <w:rPr>
          <w:rFonts w:ascii="Arial" w:cs="Arial" w:eastAsia="Arial" w:hAnsi="Arial"/>
          <w:sz w:val="15"/>
          <w:szCs w:val="15"/>
          <w:color w:val="1A475F"/>
        </w:rPr>
        <w:t>Today we are a leading provider of high-quality early education and child care, family care solutions, and workforce education services that are designed to help working families and client employees thrive personally and professionally—services and tools used by more than 1,450 of the world’s top employers and by hundreds of thousands of working parents and learners.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334645</wp:posOffset>
            </wp:positionV>
            <wp:extent cx="1587500" cy="1315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87500" cy="131572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120" w:firstLine="556"/>
        <w:spacing w:after="0" w:line="251" w:lineRule="auto"/>
        <w:rPr>
          <w:sz w:val="20"/>
          <w:szCs w:val="20"/>
          <w:color w:val="auto"/>
        </w:rPr>
      </w:pPr>
      <w:r>
        <w:rPr>
          <w:rFonts w:ascii="Arial" w:cs="Arial" w:eastAsia="Arial" w:hAnsi="Arial"/>
          <w:sz w:val="15"/>
          <w:szCs w:val="15"/>
          <w:color w:val="1A475F"/>
        </w:rPr>
        <w:t>To achieve our mission and deliver results, we put our HEART into everything we do. Our HEART Principles—HONESTY, EXCELLENCE, ACCOUNTABILITY, RESPECT, and TEAMWORK—are the underlying tenets of our culture and are guided by the core belief that our people are the foundation to building and sustaining an organization that makes a significant impact in the lives of the children, families and adult learners we serve.</w:t>
      </w:r>
    </w:p>
    <w:p>
      <w:pPr>
        <w:spacing w:after="0" w:line="70" w:lineRule="exact"/>
        <w:rPr>
          <w:sz w:val="20"/>
          <w:szCs w:val="20"/>
          <w:color w:val="auto"/>
        </w:rPr>
      </w:pPr>
    </w:p>
    <w:p>
      <w:pPr>
        <w:ind w:left="4120" w:right="60" w:firstLine="556"/>
        <w:spacing w:after="0" w:line="249" w:lineRule="auto"/>
        <w:rPr>
          <w:sz w:val="20"/>
          <w:szCs w:val="20"/>
          <w:color w:val="auto"/>
        </w:rPr>
      </w:pPr>
      <w:r>
        <w:rPr>
          <w:rFonts w:ascii="Arial" w:cs="Arial" w:eastAsia="Arial" w:hAnsi="Arial"/>
          <w:sz w:val="15"/>
          <w:szCs w:val="15"/>
          <w:color w:val="1A475F"/>
        </w:rPr>
        <w:t>Our corporate responsibility efforts are aligned with our mission and values, supporting initiatives that combine our knowledge, experience and compassion—both as an organization and as individuals. These efforts and principles are embedded throughout our operations, and our unique business model affords us the opportunity to not only build a sustainable long-term organization, but to also have a significant impact on the children, families and adult learners we work with and in the communities where we 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128905</wp:posOffset>
            </wp:positionV>
            <wp:extent cx="5997575" cy="183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24"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Social Responsibility</w:t>
      </w:r>
    </w:p>
    <w:p>
      <w:pPr>
        <w:spacing w:after="0" w:line="154" w:lineRule="exact"/>
        <w:rPr>
          <w:sz w:val="20"/>
          <w:szCs w:val="20"/>
          <w:color w:val="auto"/>
        </w:rPr>
      </w:pPr>
    </w:p>
    <w:p>
      <w:pPr>
        <w:ind w:left="900" w:right="80" w:firstLine="756"/>
        <w:spacing w:after="0" w:line="261" w:lineRule="auto"/>
        <w:rPr>
          <w:sz w:val="20"/>
          <w:szCs w:val="20"/>
          <w:color w:val="auto"/>
        </w:rPr>
      </w:pPr>
      <w:r>
        <w:rPr>
          <w:rFonts w:ascii="Arial" w:cs="Arial" w:eastAsia="Arial" w:hAnsi="Arial"/>
          <w:sz w:val="15"/>
          <w:szCs w:val="15"/>
          <w:color w:val="1A475F"/>
        </w:rPr>
        <w:t>Bright Horizons strives to be a positive influence in our communities by living up to the highest ethical standards, pursuing socially-minded business practices, providing rewarding career opportunities, delivering high-quality care and early education, and giving back to our communities.</w:t>
      </w:r>
    </w:p>
    <w:p>
      <w:pPr>
        <w:spacing w:after="0" w:line="51" w:lineRule="exact"/>
        <w:rPr>
          <w:sz w:val="20"/>
          <w:szCs w:val="20"/>
          <w:color w:val="auto"/>
        </w:rPr>
      </w:pPr>
    </w:p>
    <w:p>
      <w:pPr>
        <w:ind w:left="900" w:right="160" w:firstLine="756"/>
        <w:spacing w:after="0" w:line="255" w:lineRule="auto"/>
        <w:rPr>
          <w:sz w:val="20"/>
          <w:szCs w:val="20"/>
          <w:color w:val="auto"/>
        </w:rPr>
      </w:pPr>
      <w:r>
        <w:rPr>
          <w:rFonts w:ascii="Arial" w:cs="Arial" w:eastAsia="Arial" w:hAnsi="Arial"/>
          <w:sz w:val="15"/>
          <w:szCs w:val="15"/>
          <w:color w:val="1A475F"/>
        </w:rPr>
        <w:t>Through our child care and educational services, we provide foundational early childhood education and development to thousands of young children each year, positively impacting the next generation while simultaneously enabling working parents to thrive and grow in their own professional careers and lives. We further enable thousands of college aspirants and adult learners to meet their education and career goals, thereby improving the quality of the workplace, the workforce and, we believe, society at large.</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Community and Citizenship</w:t>
      </w:r>
    </w:p>
    <w:p>
      <w:pPr>
        <w:spacing w:after="0" w:line="94" w:lineRule="exact"/>
        <w:rPr>
          <w:sz w:val="20"/>
          <w:szCs w:val="20"/>
          <w:color w:val="auto"/>
        </w:rPr>
      </w:pPr>
    </w:p>
    <w:p>
      <w:pPr>
        <w:ind w:left="900" w:right="20" w:firstLine="756"/>
        <w:spacing w:after="0" w:line="214" w:lineRule="auto"/>
        <w:rPr>
          <w:sz w:val="20"/>
          <w:szCs w:val="20"/>
          <w:color w:val="auto"/>
        </w:rPr>
      </w:pPr>
      <w:r>
        <w:rPr>
          <w:rFonts w:ascii="Arial" w:cs="Arial" w:eastAsia="Arial" w:hAnsi="Arial"/>
          <w:sz w:val="15"/>
          <w:szCs w:val="15"/>
          <w:color w:val="1A475F"/>
        </w:rPr>
        <w:t>We support the communities in which we work and live, and we actively encourage our employees to do the same. We proudly stand with our many employees who support the Bright Horizons Employee Relief Fund which offers financial assistance to employees recovering from catastrophic events, and we proudly support our many employees who give their time to non-profit organizations, awarding grants to their chosen charities through the Bright Horizons Foundation for Children</w:t>
      </w:r>
      <w:r>
        <w:rPr>
          <w:rFonts w:ascii="Arial" w:cs="Arial" w:eastAsia="Arial" w:hAnsi="Arial"/>
          <w:sz w:val="23"/>
          <w:szCs w:val="23"/>
          <w:color w:val="1A475F"/>
          <w:vertAlign w:val="superscript"/>
        </w:rPr>
        <w:t>®</w:t>
      </w:r>
      <w:r>
        <w:rPr>
          <w:rFonts w:ascii="Arial" w:cs="Arial" w:eastAsia="Arial" w:hAnsi="Arial"/>
          <w:sz w:val="15"/>
          <w:szCs w:val="15"/>
          <w:color w:val="1A475F"/>
        </w:rPr>
        <w:t xml:space="preserve"> in recognition of their volunteer work. We collaborate with our employees to advance the Foundation’s mission of creating Bright Spaces</w:t>
      </w:r>
      <w:r>
        <w:rPr>
          <w:rFonts w:ascii="Arial" w:cs="Arial" w:eastAsia="Arial" w:hAnsi="Arial"/>
          <w:sz w:val="23"/>
          <w:szCs w:val="23"/>
          <w:color w:val="1A475F"/>
          <w:vertAlign w:val="superscript"/>
        </w:rPr>
        <w:t>®</w:t>
      </w:r>
      <w:r>
        <w:rPr>
          <w:rFonts w:ascii="Arial" w:cs="Arial" w:eastAsia="Arial" w:hAnsi="Arial"/>
          <w:sz w:val="15"/>
          <w:szCs w:val="15"/>
          <w:color w:val="1A475F"/>
        </w:rPr>
        <w:t xml:space="preserve"> for at risk children and families in homeless shelters and other community organizations that serve families in need or in crisis. We do this by supporting our employees’ service projects through Brightening Lives Activity grants and Field (center-based) and Home Team (corporate) fundraising events.</w:t>
      </w:r>
    </w:p>
    <w:p>
      <w:pPr>
        <w:spacing w:after="0" w:line="100"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24</w:t>
        <w:tab/>
        <w:t>|    Bright Horizons </w:t>
      </w:r>
    </w:p>
    <w:p>
      <w:pPr>
        <w:sectPr>
          <w:pgSz w:w="11900" w:h="16838" w:orient="portrait"/>
          <w:cols w:equalWidth="0" w:num="1">
            <w:col w:w="10300"/>
          </w:cols>
          <w:pgMar w:left="320" w:top="433" w:right="1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189230</wp:posOffset>
            </wp:positionV>
            <wp:extent cx="5997575" cy="183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Environmental Responsibility</w:t>
      </w:r>
    </w:p>
    <w:p>
      <w:pPr>
        <w:spacing w:after="0" w:line="154" w:lineRule="exact"/>
        <w:rPr>
          <w:sz w:val="20"/>
          <w:szCs w:val="20"/>
          <w:color w:val="auto"/>
        </w:rPr>
      </w:pPr>
    </w:p>
    <w:p>
      <w:pPr>
        <w:ind w:left="900" w:right="160" w:firstLine="756"/>
        <w:spacing w:after="0" w:line="248" w:lineRule="auto"/>
        <w:rPr>
          <w:sz w:val="20"/>
          <w:szCs w:val="20"/>
          <w:color w:val="auto"/>
        </w:rPr>
      </w:pPr>
      <w:r>
        <w:rPr>
          <w:rFonts w:ascii="Arial" w:cs="Arial" w:eastAsia="Arial" w:hAnsi="Arial"/>
          <w:sz w:val="15"/>
          <w:szCs w:val="15"/>
          <w:color w:val="1A475F"/>
        </w:rPr>
        <w:t>As educators of the next generation, we understand the importance of working to build a more sustainable world. We seek to conduct business in an environmentally sustainable manner and to be a responsible corporate citizen. We aim to integrate sustainable policies and practices into our operations and encourage our employees and suppliers to be conscious of our collective environmental footprint and impact when making business decisions whenever appropriate. We look to help reduce or minimize our environmental impact and work towards a greener and more sustainable future through initiatives with clients and suppliers. By taking measurable actions, collaborating with partners and empowering our teams, we aim to help create a lasting impact for our planet, our people and our business.</w:t>
      </w:r>
    </w:p>
    <w:p>
      <w:pPr>
        <w:spacing w:after="0" w:line="239" w:lineRule="exact"/>
        <w:rPr>
          <w:sz w:val="20"/>
          <w:szCs w:val="20"/>
          <w:color w:val="auto"/>
        </w:rPr>
      </w:pPr>
    </w:p>
    <w:p>
      <w:pPr>
        <w:ind w:left="900" w:right="60" w:firstLine="756"/>
        <w:spacing w:after="0" w:line="261" w:lineRule="auto"/>
        <w:rPr>
          <w:sz w:val="20"/>
          <w:szCs w:val="20"/>
          <w:color w:val="auto"/>
        </w:rPr>
      </w:pPr>
      <w:r>
        <w:rPr>
          <w:rFonts w:ascii="Arial" w:cs="Arial" w:eastAsia="Arial" w:hAnsi="Arial"/>
          <w:sz w:val="15"/>
          <w:szCs w:val="15"/>
          <w:color w:val="1A475F"/>
        </w:rPr>
        <w:t xml:space="preserve">Annually, we measure the GHG emissions of our global footprint following the Greenhouse Gas Protocol. For more information on our most recent GHG emissions, please see the Investor Relations section of our website at </w:t>
      </w:r>
      <w:r>
        <w:rPr>
          <w:rFonts w:ascii="Arial" w:cs="Arial" w:eastAsia="Arial" w:hAnsi="Arial"/>
          <w:sz w:val="15"/>
          <w:szCs w:val="15"/>
          <w:i w:val="1"/>
          <w:iCs w:val="1"/>
          <w:color w:val="1A475F"/>
        </w:rPr>
        <w:t>investors.brighthorizons.com</w:t>
      </w:r>
      <w:r>
        <w:rPr>
          <w:rFonts w:ascii="Arial" w:cs="Arial" w:eastAsia="Arial" w:hAnsi="Arial"/>
          <w:sz w:val="15"/>
          <w:szCs w:val="15"/>
          <w:color w:val="1A475F"/>
        </w:rPr>
        <w:t xml:space="preserve"> under “Governance &amp; Responsibility—Corporate Responsibility—Sustainability.”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114935</wp:posOffset>
            </wp:positionV>
            <wp:extent cx="5997575" cy="183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2"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People Practices</w:t>
      </w:r>
    </w:p>
    <w:p>
      <w:pPr>
        <w:spacing w:after="0" w:line="154" w:lineRule="exact"/>
        <w:rPr>
          <w:sz w:val="20"/>
          <w:szCs w:val="20"/>
          <w:color w:val="auto"/>
        </w:rPr>
      </w:pPr>
    </w:p>
    <w:p>
      <w:pPr>
        <w:ind w:left="900" w:right="20" w:firstLine="756"/>
        <w:spacing w:after="0" w:line="249" w:lineRule="auto"/>
        <w:rPr>
          <w:sz w:val="20"/>
          <w:szCs w:val="20"/>
          <w:color w:val="auto"/>
        </w:rPr>
      </w:pPr>
      <w:r>
        <w:rPr>
          <w:rFonts w:ascii="Arial" w:cs="Arial" w:eastAsia="Arial" w:hAnsi="Arial"/>
          <w:sz w:val="15"/>
          <w:szCs w:val="15"/>
          <w:color w:val="1A475F"/>
        </w:rPr>
        <w:t>Our business is about people serving people, and our success depends on attracting, developing and retaining talented and highly qualified employees. Our employee value proposition—</w:t>
      </w:r>
      <w:r>
        <w:rPr>
          <w:rFonts w:ascii="Arial" w:cs="Arial" w:eastAsia="Arial" w:hAnsi="Arial"/>
          <w:sz w:val="15"/>
          <w:szCs w:val="15"/>
          <w:i w:val="1"/>
          <w:iCs w:val="1"/>
          <w:color w:val="1A475F"/>
        </w:rPr>
        <w:t>You’re the Difference</w:t>
      </w:r>
      <w:r>
        <w:rPr>
          <w:rFonts w:ascii="Arial" w:cs="Arial" w:eastAsia="Arial" w:hAnsi="Arial"/>
          <w:sz w:val="15"/>
          <w:szCs w:val="15"/>
          <w:color w:val="1A475F"/>
        </w:rPr>
        <w:t>—is our pledge to providing market-leading benefits and rewards, opportunities for advancement and career growth, and a strong culture to celebrate our shared mission and values. We are continually investing in resources and creating programs to build culture, to provide fair and competitive pay, to offer benefits to support our employees’ well-being, and to foster personal growth and career development opportunities. We endeavor to create environments that attract, retain and engage our talent, enhance our culture and employee experience, and reward performance.</w:t>
      </w:r>
    </w:p>
    <w:p>
      <w:pPr>
        <w:spacing w:after="0" w:line="61" w:lineRule="exact"/>
        <w:rPr>
          <w:sz w:val="20"/>
          <w:szCs w:val="20"/>
          <w:color w:val="auto"/>
        </w:rPr>
      </w:pPr>
    </w:p>
    <w:p>
      <w:pPr>
        <w:ind w:left="900" w:right="260" w:firstLine="756"/>
        <w:spacing w:after="0" w:line="255" w:lineRule="auto"/>
        <w:rPr>
          <w:sz w:val="20"/>
          <w:szCs w:val="20"/>
          <w:color w:val="auto"/>
        </w:rPr>
      </w:pPr>
      <w:r>
        <w:rPr>
          <w:rFonts w:ascii="Arial" w:cs="Arial" w:eastAsia="Arial" w:hAnsi="Arial"/>
          <w:sz w:val="15"/>
          <w:szCs w:val="15"/>
          <w:color w:val="1A475F"/>
        </w:rPr>
        <w:t>More than 1,450 leading employers trust us for proven solutions that support employees, advance careers, and maximize employee performance, and we offer our own employees the solutions and services we offer to our clients. From on-site child care, to back-up care that addresses gaps in child care, to education programs that build critical skills, we believe our service offerings help our employees achieve more.</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Talent Acquisition and Total Rewards</w:t>
      </w:r>
    </w:p>
    <w:p>
      <w:pPr>
        <w:spacing w:after="0" w:line="94" w:lineRule="exact"/>
        <w:rPr>
          <w:sz w:val="20"/>
          <w:szCs w:val="20"/>
          <w:color w:val="auto"/>
        </w:rPr>
      </w:pPr>
    </w:p>
    <w:p>
      <w:pPr>
        <w:ind w:left="900" w:right="240" w:firstLine="756"/>
        <w:spacing w:after="0" w:line="255" w:lineRule="auto"/>
        <w:rPr>
          <w:sz w:val="20"/>
          <w:szCs w:val="20"/>
          <w:color w:val="auto"/>
        </w:rPr>
      </w:pPr>
      <w:r>
        <w:rPr>
          <w:rFonts w:ascii="Arial" w:cs="Arial" w:eastAsia="Arial" w:hAnsi="Arial"/>
          <w:sz w:val="15"/>
          <w:szCs w:val="15"/>
          <w:color w:val="1A475F"/>
        </w:rPr>
        <w:t xml:space="preserve">We deploy proven solutions that recruit talent, support employees, advance careers, and maximize employee performance. Through ongoing initiatives such as our </w:t>
      </w:r>
      <w:r>
        <w:rPr>
          <w:rFonts w:ascii="Arial" w:cs="Arial" w:eastAsia="Arial" w:hAnsi="Arial"/>
          <w:sz w:val="15"/>
          <w:szCs w:val="15"/>
          <w:i w:val="1"/>
          <w:iCs w:val="1"/>
          <w:color w:val="1A475F"/>
        </w:rPr>
        <w:t>100 Days of Heart</w:t>
      </w:r>
      <w:r>
        <w:rPr>
          <w:rFonts w:ascii="Arial" w:cs="Arial" w:eastAsia="Arial" w:hAnsi="Arial"/>
          <w:sz w:val="15"/>
          <w:szCs w:val="15"/>
          <w:color w:val="1A475F"/>
        </w:rPr>
        <w:t xml:space="preserve"> onboarding program, our employee referral program, our alumni recruitment portal, and partnerships with high schools, colleges and universities, Bright Horizons and our dedicated talent acquisition team help address the challenges in attracting top talent in our field.</w:t>
      </w:r>
    </w:p>
    <w:p>
      <w:pPr>
        <w:spacing w:after="0" w:line="54" w:lineRule="exact"/>
        <w:rPr>
          <w:sz w:val="20"/>
          <w:szCs w:val="20"/>
          <w:color w:val="auto"/>
        </w:rPr>
      </w:pPr>
    </w:p>
    <w:p>
      <w:pPr>
        <w:ind w:left="900" w:right="60" w:firstLine="756"/>
        <w:spacing w:after="0" w:line="281" w:lineRule="auto"/>
        <w:rPr>
          <w:sz w:val="20"/>
          <w:szCs w:val="20"/>
          <w:color w:val="auto"/>
        </w:rPr>
      </w:pPr>
      <w:r>
        <w:rPr>
          <w:rFonts w:ascii="Arial" w:cs="Arial" w:eastAsia="Arial" w:hAnsi="Arial"/>
          <w:sz w:val="15"/>
          <w:szCs w:val="15"/>
          <w:color w:val="1A475F"/>
        </w:rPr>
        <w:t>We offer a comprehensive total rewards program aimed at addressing the varying health, financial and well-being needs of our employees. Our total rewards package, which may vary by geography, employee and eligibility requirements, includes:</w:t>
      </w:r>
    </w:p>
    <w:p>
      <w:pPr>
        <w:spacing w:after="0" w:line="1" w:lineRule="exact"/>
        <w:rPr>
          <w:sz w:val="20"/>
          <w:szCs w:val="20"/>
          <w:color w:val="auto"/>
        </w:rPr>
      </w:pPr>
    </w:p>
    <w:p>
      <w:pPr>
        <w:ind w:left="2400" w:hanging="376"/>
        <w:spacing w:after="0"/>
        <w:tabs>
          <w:tab w:leader="none" w:pos="2400" w:val="left"/>
        </w:tabs>
        <w:numPr>
          <w:ilvl w:val="0"/>
          <w:numId w:val="29"/>
        </w:numPr>
        <w:rPr>
          <w:rFonts w:ascii="Arial" w:cs="Arial" w:eastAsia="Arial" w:hAnsi="Arial"/>
          <w:sz w:val="15"/>
          <w:szCs w:val="15"/>
          <w:color w:val="1A475F"/>
        </w:rPr>
      </w:pPr>
      <w:r>
        <w:rPr>
          <w:rFonts w:ascii="Arial" w:cs="Arial" w:eastAsia="Arial" w:hAnsi="Arial"/>
          <w:sz w:val="15"/>
          <w:szCs w:val="15"/>
          <w:color w:val="1A475F"/>
        </w:rPr>
        <w:t>Competitive pay and healthcare benefits.</w:t>
      </w:r>
    </w:p>
    <w:p>
      <w:pPr>
        <w:spacing w:after="0" w:line="59" w:lineRule="exact"/>
        <w:rPr>
          <w:rFonts w:ascii="Arial" w:cs="Arial" w:eastAsia="Arial" w:hAnsi="Arial"/>
          <w:sz w:val="15"/>
          <w:szCs w:val="15"/>
          <w:color w:val="1A475F"/>
        </w:rPr>
      </w:pPr>
    </w:p>
    <w:p>
      <w:pPr>
        <w:ind w:left="2400" w:hanging="376"/>
        <w:spacing w:after="0"/>
        <w:tabs>
          <w:tab w:leader="none" w:pos="2400" w:val="left"/>
        </w:tabs>
        <w:numPr>
          <w:ilvl w:val="0"/>
          <w:numId w:val="29"/>
        </w:numPr>
        <w:rPr>
          <w:rFonts w:ascii="Arial" w:cs="Arial" w:eastAsia="Arial" w:hAnsi="Arial"/>
          <w:sz w:val="15"/>
          <w:szCs w:val="15"/>
          <w:color w:val="1A475F"/>
        </w:rPr>
      </w:pPr>
      <w:r>
        <w:rPr>
          <w:rFonts w:ascii="Arial" w:cs="Arial" w:eastAsia="Arial" w:hAnsi="Arial"/>
          <w:sz w:val="15"/>
          <w:szCs w:val="15"/>
          <w:color w:val="1A475F"/>
        </w:rPr>
        <w:t>401(k) retirement plans with matching contributions.</w:t>
      </w:r>
    </w:p>
    <w:p>
      <w:pPr>
        <w:spacing w:after="0" w:line="59" w:lineRule="exact"/>
        <w:rPr>
          <w:rFonts w:ascii="Arial" w:cs="Arial" w:eastAsia="Arial" w:hAnsi="Arial"/>
          <w:sz w:val="15"/>
          <w:szCs w:val="15"/>
          <w:color w:val="1A475F"/>
        </w:rPr>
      </w:pPr>
    </w:p>
    <w:p>
      <w:pPr>
        <w:ind w:left="2400" w:hanging="376"/>
        <w:spacing w:after="0"/>
        <w:tabs>
          <w:tab w:leader="none" w:pos="2400" w:val="left"/>
        </w:tabs>
        <w:numPr>
          <w:ilvl w:val="0"/>
          <w:numId w:val="29"/>
        </w:numPr>
        <w:rPr>
          <w:rFonts w:ascii="Arial" w:cs="Arial" w:eastAsia="Arial" w:hAnsi="Arial"/>
          <w:sz w:val="15"/>
          <w:szCs w:val="15"/>
          <w:color w:val="1A475F"/>
        </w:rPr>
      </w:pPr>
      <w:r>
        <w:rPr>
          <w:rFonts w:ascii="Arial" w:cs="Arial" w:eastAsia="Arial" w:hAnsi="Arial"/>
          <w:sz w:val="15"/>
          <w:szCs w:val="15"/>
          <w:color w:val="1A475F"/>
        </w:rPr>
        <w:t>Paid time off.</w:t>
      </w:r>
    </w:p>
    <w:p>
      <w:pPr>
        <w:spacing w:after="0" w:line="59" w:lineRule="exact"/>
        <w:rPr>
          <w:rFonts w:ascii="Arial" w:cs="Arial" w:eastAsia="Arial" w:hAnsi="Arial"/>
          <w:sz w:val="15"/>
          <w:szCs w:val="15"/>
          <w:color w:val="1A475F"/>
        </w:rPr>
      </w:pPr>
    </w:p>
    <w:p>
      <w:pPr>
        <w:ind w:left="2400" w:right="40" w:hanging="376"/>
        <w:spacing w:after="0" w:line="281" w:lineRule="auto"/>
        <w:tabs>
          <w:tab w:leader="none" w:pos="2400" w:val="left"/>
        </w:tabs>
        <w:numPr>
          <w:ilvl w:val="0"/>
          <w:numId w:val="29"/>
        </w:numPr>
        <w:rPr>
          <w:rFonts w:ascii="Arial" w:cs="Arial" w:eastAsia="Arial" w:hAnsi="Arial"/>
          <w:sz w:val="15"/>
          <w:szCs w:val="15"/>
          <w:color w:val="1A475F"/>
        </w:rPr>
      </w:pPr>
      <w:r>
        <w:rPr>
          <w:rFonts w:ascii="Arial" w:cs="Arial" w:eastAsia="Arial" w:hAnsi="Arial"/>
          <w:sz w:val="15"/>
          <w:szCs w:val="15"/>
          <w:color w:val="1A475F"/>
        </w:rPr>
        <w:t>Wellness initiatives with benefits relating to nutrition, stress management and financial well-being, mental health and work-life balance including an Employee Assistance Program.</w:t>
      </w:r>
    </w:p>
    <w:p>
      <w:pPr>
        <w:spacing w:after="0" w:line="1" w:lineRule="exact"/>
        <w:rPr>
          <w:rFonts w:ascii="Arial" w:cs="Arial" w:eastAsia="Arial" w:hAnsi="Arial"/>
          <w:sz w:val="15"/>
          <w:szCs w:val="15"/>
          <w:color w:val="1A475F"/>
        </w:rPr>
      </w:pPr>
    </w:p>
    <w:p>
      <w:pPr>
        <w:ind w:left="2400" w:hanging="376"/>
        <w:spacing w:after="0"/>
        <w:tabs>
          <w:tab w:leader="none" w:pos="2400" w:val="left"/>
        </w:tabs>
        <w:numPr>
          <w:ilvl w:val="0"/>
          <w:numId w:val="29"/>
        </w:numPr>
        <w:rPr>
          <w:rFonts w:ascii="Arial" w:cs="Arial" w:eastAsia="Arial" w:hAnsi="Arial"/>
          <w:sz w:val="15"/>
          <w:szCs w:val="15"/>
          <w:color w:val="1A475F"/>
        </w:rPr>
      </w:pPr>
      <w:r>
        <w:rPr>
          <w:rFonts w:ascii="Arial" w:cs="Arial" w:eastAsia="Arial" w:hAnsi="Arial"/>
          <w:sz w:val="15"/>
          <w:szCs w:val="15"/>
          <w:color w:val="1A475F"/>
        </w:rPr>
        <w:t>Child care tuition subsidies for both Field (center-based) and Home Team (corporate) employees.</w:t>
      </w:r>
    </w:p>
    <w:p>
      <w:pPr>
        <w:spacing w:after="0" w:line="59" w:lineRule="exact"/>
        <w:rPr>
          <w:rFonts w:ascii="Arial" w:cs="Arial" w:eastAsia="Arial" w:hAnsi="Arial"/>
          <w:sz w:val="15"/>
          <w:szCs w:val="15"/>
          <w:color w:val="1A475F"/>
        </w:rPr>
      </w:pPr>
    </w:p>
    <w:p>
      <w:pPr>
        <w:ind w:left="2400" w:right="500" w:hanging="376"/>
        <w:spacing w:after="0" w:line="281" w:lineRule="auto"/>
        <w:tabs>
          <w:tab w:leader="none" w:pos="2400" w:val="left"/>
        </w:tabs>
        <w:numPr>
          <w:ilvl w:val="0"/>
          <w:numId w:val="29"/>
        </w:numPr>
        <w:rPr>
          <w:rFonts w:ascii="Arial" w:cs="Arial" w:eastAsia="Arial" w:hAnsi="Arial"/>
          <w:sz w:val="15"/>
          <w:szCs w:val="15"/>
          <w:color w:val="1A475F"/>
        </w:rPr>
      </w:pPr>
      <w:r>
        <w:rPr>
          <w:rFonts w:ascii="Arial" w:cs="Arial" w:eastAsia="Arial" w:hAnsi="Arial"/>
          <w:sz w:val="15"/>
          <w:szCs w:val="15"/>
          <w:color w:val="1A475F"/>
        </w:rPr>
        <w:t xml:space="preserve">Tuition assistance programs, including the </w:t>
      </w:r>
      <w:r>
        <w:rPr>
          <w:rFonts w:ascii="Arial" w:cs="Arial" w:eastAsia="Arial" w:hAnsi="Arial"/>
          <w:sz w:val="15"/>
          <w:szCs w:val="15"/>
          <w:i w:val="1"/>
          <w:iCs w:val="1"/>
          <w:color w:val="1A475F"/>
        </w:rPr>
        <w:t>Horizons CDA and Degree Program</w:t>
      </w:r>
      <w:r>
        <w:rPr>
          <w:rFonts w:ascii="Arial" w:cs="Arial" w:eastAsia="Arial" w:hAnsi="Arial"/>
          <w:sz w:val="15"/>
          <w:szCs w:val="15"/>
          <w:color w:val="1A475F"/>
        </w:rPr>
        <w:t xml:space="preserve"> which provides direct, no-cost access to an early childhood education degree.</w:t>
      </w:r>
    </w:p>
    <w:p>
      <w:pPr>
        <w:spacing w:after="0" w:line="1" w:lineRule="exact"/>
        <w:rPr>
          <w:rFonts w:ascii="Arial" w:cs="Arial" w:eastAsia="Arial" w:hAnsi="Arial"/>
          <w:sz w:val="15"/>
          <w:szCs w:val="15"/>
          <w:color w:val="1A475F"/>
        </w:rPr>
      </w:pPr>
    </w:p>
    <w:p>
      <w:pPr>
        <w:ind w:left="2400" w:hanging="376"/>
        <w:spacing w:after="0"/>
        <w:tabs>
          <w:tab w:leader="none" w:pos="2400" w:val="left"/>
        </w:tabs>
        <w:numPr>
          <w:ilvl w:val="0"/>
          <w:numId w:val="29"/>
        </w:numPr>
        <w:rPr>
          <w:rFonts w:ascii="Arial" w:cs="Arial" w:eastAsia="Arial" w:hAnsi="Arial"/>
          <w:sz w:val="15"/>
          <w:szCs w:val="15"/>
          <w:color w:val="1A475F"/>
        </w:rPr>
      </w:pPr>
      <w:r>
        <w:rPr>
          <w:rFonts w:ascii="Arial" w:cs="Arial" w:eastAsia="Arial" w:hAnsi="Arial"/>
          <w:sz w:val="15"/>
          <w:szCs w:val="15"/>
          <w:color w:val="1A475F"/>
        </w:rPr>
        <w:t>Access to back-up care, EdAssist, College Coach and Sittercity.</w:t>
      </w:r>
    </w:p>
    <w:p>
      <w:pPr>
        <w:spacing w:after="0" w:line="59" w:lineRule="exact"/>
        <w:rPr>
          <w:rFonts w:ascii="Arial" w:cs="Arial" w:eastAsia="Arial" w:hAnsi="Arial"/>
          <w:sz w:val="15"/>
          <w:szCs w:val="15"/>
          <w:color w:val="1A475F"/>
        </w:rPr>
      </w:pPr>
    </w:p>
    <w:p>
      <w:pPr>
        <w:ind w:left="2400" w:hanging="376"/>
        <w:spacing w:after="0"/>
        <w:tabs>
          <w:tab w:leader="none" w:pos="2400" w:val="left"/>
        </w:tabs>
        <w:numPr>
          <w:ilvl w:val="0"/>
          <w:numId w:val="29"/>
        </w:numPr>
        <w:rPr>
          <w:rFonts w:ascii="Arial" w:cs="Arial" w:eastAsia="Arial" w:hAnsi="Arial"/>
          <w:sz w:val="15"/>
          <w:szCs w:val="15"/>
          <w:color w:val="1A475F"/>
        </w:rPr>
      </w:pPr>
      <w:r>
        <w:rPr>
          <w:rFonts w:ascii="Arial" w:cs="Arial" w:eastAsia="Arial" w:hAnsi="Arial"/>
          <w:sz w:val="15"/>
          <w:szCs w:val="15"/>
          <w:color w:val="1A475F"/>
        </w:rPr>
        <w:t>Paid parental bonding leave.</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Career Development</w:t>
      </w:r>
    </w:p>
    <w:p>
      <w:pPr>
        <w:spacing w:after="0" w:line="94" w:lineRule="exact"/>
        <w:rPr>
          <w:sz w:val="20"/>
          <w:szCs w:val="20"/>
          <w:color w:val="auto"/>
        </w:rPr>
      </w:pPr>
    </w:p>
    <w:p>
      <w:pPr>
        <w:ind w:left="900" w:right="160" w:firstLine="756"/>
        <w:spacing w:after="0" w:line="251" w:lineRule="auto"/>
        <w:rPr>
          <w:sz w:val="20"/>
          <w:szCs w:val="20"/>
          <w:color w:val="auto"/>
        </w:rPr>
      </w:pPr>
      <w:r>
        <w:rPr>
          <w:rFonts w:ascii="Arial" w:cs="Arial" w:eastAsia="Arial" w:hAnsi="Arial"/>
          <w:sz w:val="15"/>
          <w:szCs w:val="15"/>
          <w:color w:val="1A475F"/>
        </w:rPr>
        <w:t>We invest in our employees’ career growth. Employee training and development opportunities are critical to our success as they help develop leaders within our organization and support the delivery of quality services to our clients, and the families and learners we serve. We provide a robust, ongoing employee training and career development program that is available to employees through our online training university. Our blended learning approach means employees have a selection of different learning methods available to them, including live interactive online webinars, in person training, eLearning modules, and videos.</w:t>
      </w:r>
    </w:p>
    <w:p>
      <w:pPr>
        <w:spacing w:after="0" w:line="92"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25</w:t>
      </w:r>
    </w:p>
    <w:p>
      <w:pPr>
        <w:sectPr>
          <w:pgSz w:w="11900" w:h="16838" w:orient="portrait"/>
          <w:cols w:equalWidth="0" w:num="1">
            <w:col w:w="10340"/>
          </w:cols>
          <w:pgMar w:left="320" w:top="433" w:right="1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firstLine="756"/>
        <w:spacing w:after="0" w:line="257" w:lineRule="auto"/>
        <w:rPr>
          <w:sz w:val="20"/>
          <w:szCs w:val="20"/>
          <w:color w:val="auto"/>
        </w:rPr>
      </w:pPr>
      <w:r>
        <w:rPr>
          <w:rFonts w:ascii="Arial" w:cs="Arial" w:eastAsia="Arial" w:hAnsi="Arial"/>
          <w:sz w:val="15"/>
          <w:szCs w:val="15"/>
          <w:color w:val="1A475F"/>
        </w:rPr>
        <w:t>We are also invested in long-term employee success and are committed to advancing talent from within by developing the next generation of leaders at Bright Horizons. By creating clear pathways for career development, through leadership training and development, we support and encourage upward career mobility in both our Field (center-based) operations and throughout our Home Team (corporate).</w:t>
      </w:r>
    </w:p>
    <w:p>
      <w:pPr>
        <w:spacing w:after="0" w:line="326"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Horizons CDA and Degree Program</w:t>
      </w:r>
    </w:p>
    <w:p>
      <w:pPr>
        <w:spacing w:after="0" w:line="94" w:lineRule="exact"/>
        <w:rPr>
          <w:sz w:val="20"/>
          <w:szCs w:val="20"/>
          <w:color w:val="auto"/>
        </w:rPr>
      </w:pPr>
    </w:p>
    <w:p>
      <w:pPr>
        <w:ind w:left="900" w:right="20" w:firstLine="756"/>
        <w:spacing w:after="0" w:line="249" w:lineRule="auto"/>
        <w:rPr>
          <w:sz w:val="20"/>
          <w:szCs w:val="20"/>
          <w:color w:val="auto"/>
        </w:rPr>
      </w:pPr>
      <w:r>
        <w:rPr>
          <w:rFonts w:ascii="Arial" w:cs="Arial" w:eastAsia="Arial" w:hAnsi="Arial"/>
          <w:sz w:val="15"/>
          <w:szCs w:val="15"/>
          <w:color w:val="1A475F"/>
        </w:rPr>
        <w:t xml:space="preserve">A central program offering is our </w:t>
      </w:r>
      <w:r>
        <w:rPr>
          <w:rFonts w:ascii="Arial" w:cs="Arial" w:eastAsia="Arial" w:hAnsi="Arial"/>
          <w:sz w:val="15"/>
          <w:szCs w:val="15"/>
          <w:i w:val="1"/>
          <w:iCs w:val="1"/>
          <w:color w:val="1A475F"/>
        </w:rPr>
        <w:t>Horizons CDA and Degree Program</w:t>
      </w:r>
      <w:r>
        <w:rPr>
          <w:rFonts w:ascii="Arial" w:cs="Arial" w:eastAsia="Arial" w:hAnsi="Arial"/>
          <w:sz w:val="15"/>
          <w:szCs w:val="15"/>
          <w:color w:val="1A475F"/>
        </w:rPr>
        <w:t xml:space="preserve">. The program, which is a first-of-its-kind offering in the early education field, removes financial barriers for employees pursuing a degree, by allowing employees to earn a CDA (child development associate) certificate or an associate’s or a bachelor’s degree in early childhood education at no-cost and with no out-of-pocket expenses, including tuition, fees and books. Since 2018, more than 8,000 educators have enrolled in the </w:t>
      </w:r>
      <w:r>
        <w:rPr>
          <w:rFonts w:ascii="Arial" w:cs="Arial" w:eastAsia="Arial" w:hAnsi="Arial"/>
          <w:sz w:val="15"/>
          <w:szCs w:val="15"/>
          <w:i w:val="1"/>
          <w:iCs w:val="1"/>
          <w:color w:val="1A475F"/>
        </w:rPr>
        <w:t>Horizons CDA and</w:t>
      </w:r>
      <w:r>
        <w:rPr>
          <w:rFonts w:ascii="Arial" w:cs="Arial" w:eastAsia="Arial" w:hAnsi="Arial"/>
          <w:sz w:val="15"/>
          <w:szCs w:val="15"/>
          <w:color w:val="1A475F"/>
        </w:rPr>
        <w:t xml:space="preserve"> </w:t>
      </w:r>
      <w:r>
        <w:rPr>
          <w:rFonts w:ascii="Arial" w:cs="Arial" w:eastAsia="Arial" w:hAnsi="Arial"/>
          <w:sz w:val="15"/>
          <w:szCs w:val="15"/>
          <w:i w:val="1"/>
          <w:iCs w:val="1"/>
          <w:color w:val="1A475F"/>
        </w:rPr>
        <w:t>Degree Program</w:t>
      </w:r>
      <w:r>
        <w:rPr>
          <w:rFonts w:ascii="Arial" w:cs="Arial" w:eastAsia="Arial" w:hAnsi="Arial"/>
          <w:sz w:val="15"/>
          <w:szCs w:val="15"/>
          <w:color w:val="1A475F"/>
        </w:rPr>
        <w:t>, with nearly 3,000 educators earning their CDA credential or college degree. We have recently expanded the program to</w:t>
      </w:r>
      <w:r>
        <w:rPr>
          <w:rFonts w:ascii="Arial" w:cs="Arial" w:eastAsia="Arial" w:hAnsi="Arial"/>
          <w:sz w:val="15"/>
          <w:szCs w:val="15"/>
          <w:i w:val="1"/>
          <w:iCs w:val="1"/>
          <w:color w:val="1A475F"/>
        </w:rPr>
        <w:t xml:space="preserve"> </w:t>
      </w:r>
      <w:r>
        <w:rPr>
          <w:rFonts w:ascii="Arial" w:cs="Arial" w:eastAsia="Arial" w:hAnsi="Arial"/>
          <w:sz w:val="15"/>
          <w:szCs w:val="15"/>
          <w:color w:val="1A475F"/>
        </w:rPr>
        <w:t>offer an early care and education graduate certificate for center leaders and an English Language Learning program for all educators.</w:t>
      </w:r>
    </w:p>
    <w:p>
      <w:pPr>
        <w:spacing w:after="0" w:line="153"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Employee Engagement</w:t>
      </w:r>
    </w:p>
    <w:p>
      <w:pPr>
        <w:spacing w:after="0" w:line="94" w:lineRule="exact"/>
        <w:rPr>
          <w:sz w:val="20"/>
          <w:szCs w:val="20"/>
          <w:color w:val="auto"/>
        </w:rPr>
      </w:pPr>
    </w:p>
    <w:p>
      <w:pPr>
        <w:ind w:left="900" w:right="260" w:firstLine="756"/>
        <w:spacing w:after="0" w:line="244" w:lineRule="auto"/>
        <w:rPr>
          <w:sz w:val="20"/>
          <w:szCs w:val="20"/>
          <w:color w:val="auto"/>
        </w:rPr>
      </w:pPr>
      <w:r>
        <w:rPr>
          <w:rFonts w:ascii="Arial" w:cs="Arial" w:eastAsia="Arial" w:hAnsi="Arial"/>
          <w:sz w:val="15"/>
          <w:szCs w:val="15"/>
          <w:color w:val="1A475F"/>
        </w:rPr>
        <w:t>At Bright Horizons gathering continuous feedback is an essential part of our culture. We regularly collect feedback from our employees through our annual employee experience survey and through other periodic surveys and forums. Hearing directly from our employees helps us understand the employee experience, including evolving priorities related to workplace environment, employee relations, pay and benefits, flexibility, and career growth opportunities, all of which are critical to our mission to remain an employer of choice and a great place to work. We champion a culture of belonging and appreciation through our engagement programs, including Better Together programming and activities that support the Bright Horizons Foundation for Children</w:t>
      </w:r>
      <w:r>
        <w:rPr>
          <w:rFonts w:ascii="Arial" w:cs="Arial" w:eastAsia="Arial" w:hAnsi="Arial"/>
          <w:sz w:val="23"/>
          <w:szCs w:val="23"/>
          <w:color w:val="1A475F"/>
          <w:vertAlign w:val="superscript"/>
        </w:rPr>
        <w:t>®</w:t>
      </w:r>
      <w:r>
        <w:rPr>
          <w:rFonts w:ascii="Arial" w:cs="Arial" w:eastAsia="Arial" w:hAnsi="Arial"/>
          <w:sz w:val="15"/>
          <w:szCs w:val="15"/>
          <w:color w:val="1A475F"/>
        </w:rPr>
        <w:t>.</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For more information on our benefits and total rewards, please see the Company’s 2025 Annual Report.</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Culture and Inclusion</w:t>
      </w:r>
    </w:p>
    <w:p>
      <w:pPr>
        <w:spacing w:after="0" w:line="94" w:lineRule="exact"/>
        <w:rPr>
          <w:sz w:val="20"/>
          <w:szCs w:val="20"/>
          <w:color w:val="auto"/>
        </w:rPr>
      </w:pPr>
    </w:p>
    <w:p>
      <w:pPr>
        <w:ind w:left="900" w:right="140" w:firstLine="756"/>
        <w:spacing w:after="0" w:line="248" w:lineRule="auto"/>
        <w:rPr>
          <w:sz w:val="20"/>
          <w:szCs w:val="20"/>
          <w:color w:val="auto"/>
        </w:rPr>
      </w:pPr>
      <w:r>
        <w:rPr>
          <w:rFonts w:ascii="Arial" w:cs="Arial" w:eastAsia="Arial" w:hAnsi="Arial"/>
          <w:sz w:val="15"/>
          <w:szCs w:val="15"/>
          <w:color w:val="1A475F"/>
        </w:rPr>
        <w:t>Bright Horizons is an organization made up of employees, children and families from many cultures, backgrounds and experiences. We believe that fostering a workplace where all employees feel welcome and have a sense of belonging, as well as where everyone’s unique differences are celebrated and valued, is vital to the Bright Horizons mission and culture. We look to create open and inclusive environments for all of our employees by listening to our people, utilizing our employee resource groups, which are open to all employees, and deepening cultural awareness through learning opportunities. We believe our approach to building and maintaining a strong culture and inclusive environment helps us recruit and retain talent, reduce turnover, and enhance our offerings, service lines and the education and services we deliver daily to children and families.</w:t>
      </w:r>
    </w:p>
    <w:p>
      <w:pPr>
        <w:spacing w:after="0" w:line="60"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For more information on our workforce, please see the Company’s 2025 Annual Report.</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Our Award Winning Culture</w:t>
      </w:r>
    </w:p>
    <w:p>
      <w:pPr>
        <w:spacing w:after="0" w:line="94" w:lineRule="exact"/>
        <w:rPr>
          <w:sz w:val="20"/>
          <w:szCs w:val="20"/>
          <w:color w:val="auto"/>
        </w:rPr>
      </w:pPr>
    </w:p>
    <w:p>
      <w:pPr>
        <w:jc w:val="both"/>
        <w:ind w:left="900" w:right="40" w:firstLine="756"/>
        <w:spacing w:after="0" w:line="261" w:lineRule="auto"/>
        <w:rPr>
          <w:sz w:val="20"/>
          <w:szCs w:val="20"/>
          <w:color w:val="auto"/>
        </w:rPr>
      </w:pPr>
      <w:r>
        <w:rPr>
          <w:rFonts w:ascii="Arial" w:cs="Arial" w:eastAsia="Arial" w:hAnsi="Arial"/>
          <w:sz w:val="15"/>
          <w:szCs w:val="15"/>
          <w:color w:val="1A475F"/>
        </w:rPr>
        <w:t>We are honored and proud to have a long track record of being named an employer of choice. The following awards represent recent recognition of the strong culture we have built at Bright Horizons and the programs and benefits we offer to our employees. These honors are awarded based largely on employee responses to surveys.</w:t>
      </w:r>
    </w:p>
    <w:p>
      <w:pPr>
        <w:sectPr>
          <w:pgSz w:w="11900" w:h="16838" w:orient="portrait"/>
          <w:cols w:equalWidth="0" w:num="1">
            <w:col w:w="10300"/>
          </w:cols>
          <w:pgMar w:left="320" w:top="433" w:right="1279" w:bottom="1440" w:gutter="0" w:footer="0" w:header="0"/>
        </w:sectPr>
      </w:pPr>
    </w:p>
    <w:p>
      <w:pPr>
        <w:spacing w:after="0" w:line="167" w:lineRule="exact"/>
        <w:rPr>
          <w:sz w:val="20"/>
          <w:szCs w:val="20"/>
          <w:color w:val="auto"/>
        </w:rPr>
      </w:pPr>
    </w:p>
    <w:p>
      <w:pPr>
        <w:ind w:left="1740" w:right="200" w:hanging="299"/>
        <w:spacing w:after="0" w:line="261" w:lineRule="auto"/>
        <w:tabs>
          <w:tab w:leader="none" w:pos="1740" w:val="left"/>
        </w:tabs>
        <w:numPr>
          <w:ilvl w:val="0"/>
          <w:numId w:val="30"/>
        </w:numPr>
        <w:rPr>
          <w:rFonts w:ascii="MS PGothic" w:cs="MS PGothic" w:eastAsia="MS PGothic" w:hAnsi="MS PGothic"/>
          <w:sz w:val="15"/>
          <w:szCs w:val="15"/>
          <w:color w:val="1A475F"/>
        </w:rPr>
      </w:pPr>
      <w:r>
        <w:rPr>
          <w:rFonts w:ascii="Arial" w:cs="Arial" w:eastAsia="Arial" w:hAnsi="Arial"/>
          <w:sz w:val="15"/>
          <w:szCs w:val="15"/>
          <w:color w:val="1A475F"/>
        </w:rPr>
        <w:t>2025 “Best Places to Work” by the Boston Business Journal</w:t>
      </w:r>
    </w:p>
    <w:p>
      <w:pPr>
        <w:spacing w:after="0" w:line="18" w:lineRule="exact"/>
        <w:rPr>
          <w:rFonts w:ascii="MS PGothic" w:cs="MS PGothic" w:eastAsia="MS PGothic" w:hAnsi="MS PGothic"/>
          <w:sz w:val="15"/>
          <w:szCs w:val="15"/>
          <w:color w:val="1A475F"/>
        </w:rPr>
      </w:pPr>
    </w:p>
    <w:p>
      <w:pPr>
        <w:ind w:left="1740" w:right="160" w:hanging="299"/>
        <w:spacing w:after="0" w:line="261" w:lineRule="auto"/>
        <w:tabs>
          <w:tab w:leader="none" w:pos="1740" w:val="left"/>
        </w:tabs>
        <w:numPr>
          <w:ilvl w:val="0"/>
          <w:numId w:val="30"/>
        </w:numPr>
        <w:rPr>
          <w:rFonts w:ascii="MS PGothic" w:cs="MS PGothic" w:eastAsia="MS PGothic" w:hAnsi="MS PGothic"/>
          <w:sz w:val="15"/>
          <w:szCs w:val="15"/>
          <w:color w:val="1A475F"/>
        </w:rPr>
      </w:pPr>
      <w:r>
        <w:rPr>
          <w:rFonts w:ascii="Arial" w:cs="Arial" w:eastAsia="Arial" w:hAnsi="Arial"/>
          <w:sz w:val="15"/>
          <w:szCs w:val="15"/>
          <w:color w:val="1A475F"/>
        </w:rPr>
        <w:t>2025 America’s Greatest Workplaces for Inclusion &amp; Diversity by Newsweek</w:t>
      </w:r>
    </w:p>
    <w:p>
      <w:pPr>
        <w:spacing w:after="0" w:line="18" w:lineRule="exact"/>
        <w:rPr>
          <w:rFonts w:ascii="MS PGothic" w:cs="MS PGothic" w:eastAsia="MS PGothic" w:hAnsi="MS PGothic"/>
          <w:sz w:val="15"/>
          <w:szCs w:val="15"/>
          <w:color w:val="1A475F"/>
        </w:rPr>
      </w:pPr>
    </w:p>
    <w:p>
      <w:pPr>
        <w:ind w:left="1740" w:hanging="299"/>
        <w:spacing w:after="0" w:line="282" w:lineRule="auto"/>
        <w:tabs>
          <w:tab w:leader="none" w:pos="1740" w:val="left"/>
        </w:tabs>
        <w:numPr>
          <w:ilvl w:val="0"/>
          <w:numId w:val="30"/>
        </w:numPr>
        <w:rPr>
          <w:rFonts w:ascii="MS PGothic" w:cs="MS PGothic" w:eastAsia="MS PGothic" w:hAnsi="MS PGothic"/>
          <w:sz w:val="15"/>
          <w:szCs w:val="15"/>
          <w:color w:val="1A475F"/>
        </w:rPr>
      </w:pPr>
      <w:r>
        <w:rPr>
          <w:rFonts w:ascii="Arial" w:cs="Arial" w:eastAsia="Arial" w:hAnsi="Arial"/>
          <w:sz w:val="15"/>
          <w:szCs w:val="15"/>
          <w:color w:val="1A475F"/>
        </w:rPr>
        <w:t>2025 “Best Workplaces for Women” in the Netherlands by the Great Place to Work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104775</wp:posOffset>
            </wp:positionV>
            <wp:extent cx="5997575" cy="183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87" w:hanging="287"/>
        <w:spacing w:after="0" w:line="261" w:lineRule="auto"/>
        <w:tabs>
          <w:tab w:leader="none" w:pos="287" w:val="left"/>
        </w:tabs>
        <w:numPr>
          <w:ilvl w:val="0"/>
          <w:numId w:val="31"/>
        </w:numPr>
        <w:rPr>
          <w:rFonts w:ascii="MS PGothic" w:cs="MS PGothic" w:eastAsia="MS PGothic" w:hAnsi="MS PGothic"/>
          <w:sz w:val="15"/>
          <w:szCs w:val="15"/>
          <w:color w:val="1A475F"/>
        </w:rPr>
      </w:pPr>
      <w:r>
        <w:rPr>
          <w:rFonts w:ascii="Arial" w:cs="Arial" w:eastAsia="Arial" w:hAnsi="Arial"/>
          <w:sz w:val="15"/>
          <w:szCs w:val="15"/>
          <w:color w:val="1A475F"/>
        </w:rPr>
        <w:t>2025 “Best Workplaces” in the United Kingdom by the Great Place to Work Institute</w:t>
      </w:r>
    </w:p>
    <w:p>
      <w:pPr>
        <w:spacing w:after="0" w:line="18" w:lineRule="exact"/>
        <w:rPr>
          <w:rFonts w:ascii="MS PGothic" w:cs="MS PGothic" w:eastAsia="MS PGothic" w:hAnsi="MS PGothic"/>
          <w:sz w:val="15"/>
          <w:szCs w:val="15"/>
          <w:color w:val="1A475F"/>
        </w:rPr>
      </w:pPr>
    </w:p>
    <w:p>
      <w:pPr>
        <w:ind w:left="287" w:right="160" w:hanging="287"/>
        <w:spacing w:after="0" w:line="261" w:lineRule="auto"/>
        <w:tabs>
          <w:tab w:leader="none" w:pos="287" w:val="left"/>
        </w:tabs>
        <w:numPr>
          <w:ilvl w:val="0"/>
          <w:numId w:val="31"/>
        </w:numPr>
        <w:rPr>
          <w:rFonts w:ascii="MS PGothic" w:cs="MS PGothic" w:eastAsia="MS PGothic" w:hAnsi="MS PGothic"/>
          <w:sz w:val="15"/>
          <w:szCs w:val="15"/>
          <w:color w:val="1A475F"/>
        </w:rPr>
      </w:pPr>
      <w:r>
        <w:rPr>
          <w:rFonts w:ascii="Arial" w:cs="Arial" w:eastAsia="Arial" w:hAnsi="Arial"/>
          <w:sz w:val="15"/>
          <w:szCs w:val="15"/>
          <w:color w:val="1A475F"/>
        </w:rPr>
        <w:t>2025 “Best Workplaces for Women” by the Great Place to Work Institute in the United Kingdom</w:t>
      </w:r>
    </w:p>
    <w:p>
      <w:pPr>
        <w:spacing w:after="0" w:line="18" w:lineRule="exact"/>
        <w:rPr>
          <w:rFonts w:ascii="MS PGothic" w:cs="MS PGothic" w:eastAsia="MS PGothic" w:hAnsi="MS PGothic"/>
          <w:sz w:val="15"/>
          <w:szCs w:val="15"/>
          <w:color w:val="1A475F"/>
        </w:rPr>
      </w:pPr>
    </w:p>
    <w:p>
      <w:pPr>
        <w:ind w:left="287" w:right="20" w:hanging="287"/>
        <w:spacing w:after="0" w:line="282" w:lineRule="auto"/>
        <w:tabs>
          <w:tab w:leader="none" w:pos="287" w:val="left"/>
        </w:tabs>
        <w:numPr>
          <w:ilvl w:val="0"/>
          <w:numId w:val="31"/>
        </w:numPr>
        <w:rPr>
          <w:rFonts w:ascii="MS PGothic" w:cs="MS PGothic" w:eastAsia="MS PGothic" w:hAnsi="MS PGothic"/>
          <w:sz w:val="15"/>
          <w:szCs w:val="15"/>
          <w:color w:val="1A475F"/>
        </w:rPr>
      </w:pPr>
      <w:r>
        <w:rPr>
          <w:rFonts w:ascii="Arial" w:cs="Arial" w:eastAsia="Arial" w:hAnsi="Arial"/>
          <w:sz w:val="15"/>
          <w:szCs w:val="15"/>
          <w:color w:val="1A475F"/>
        </w:rPr>
        <w:t>2025 “Best Workplaces for Wellbeing” by the Great Place to Work Institute in the United Kingdom</w:t>
      </w:r>
    </w:p>
    <w:p>
      <w:pPr>
        <w:spacing w:after="0" w:line="200" w:lineRule="exact"/>
        <w:rPr>
          <w:sz w:val="20"/>
          <w:szCs w:val="20"/>
          <w:color w:val="auto"/>
        </w:rPr>
      </w:pPr>
    </w:p>
    <w:p>
      <w:pPr>
        <w:sectPr>
          <w:pgSz w:w="11900" w:h="16838" w:orient="portrait"/>
          <w:cols w:equalWidth="0" w:num="2">
            <w:col w:w="5460" w:space="453"/>
            <w:col w:w="4387"/>
          </w:cols>
          <w:pgMar w:left="320" w:top="433" w:right="1279" w:bottom="1440" w:gutter="0" w:footer="0" w:header="0"/>
          <w:type w:val="continuous"/>
        </w:sectPr>
      </w:pPr>
    </w:p>
    <w:p>
      <w:pPr>
        <w:spacing w:after="0" w:line="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Governance and Ethics</w:t>
      </w:r>
    </w:p>
    <w:p>
      <w:pPr>
        <w:spacing w:after="0" w:line="154" w:lineRule="exact"/>
        <w:rPr>
          <w:sz w:val="20"/>
          <w:szCs w:val="20"/>
          <w:color w:val="auto"/>
        </w:rPr>
      </w:pPr>
    </w:p>
    <w:p>
      <w:pPr>
        <w:ind w:left="900" w:right="80" w:firstLine="756"/>
        <w:spacing w:after="0" w:line="250" w:lineRule="auto"/>
        <w:rPr>
          <w:sz w:val="20"/>
          <w:szCs w:val="20"/>
          <w:color w:val="auto"/>
        </w:rPr>
      </w:pPr>
      <w:r>
        <w:rPr>
          <w:rFonts w:ascii="Arial" w:cs="Arial" w:eastAsia="Arial" w:hAnsi="Arial"/>
          <w:sz w:val="15"/>
          <w:szCs w:val="15"/>
          <w:color w:val="1A475F"/>
        </w:rPr>
        <w:t>Corporate governance, integrity and ethics is embedded across all functions of the Bright Horizons business. Our ethical standards serve as the foundation for our operations, how we care for children and how risk is managed throughout the organization. We maintain a 24/7 confidential ethics hotline and our ethics and compliance program include regular employee training. Our Code of Business Conduct and Code of Ethics establishes expectations to consistently guide ethical decision -making by our employees and Board, and our Supplier Code of Conduct communicates our expectations of ethical and responsible behavior by our suppliers and business partners.</w:t>
      </w:r>
    </w:p>
    <w:p>
      <w:pPr>
        <w:spacing w:after="0" w:line="269"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26</w:t>
        <w:tab/>
        <w:t>|    Bright Horizons </w:t>
      </w:r>
    </w:p>
    <w:p>
      <w:pPr>
        <w:sectPr>
          <w:pgSz w:w="11900" w:h="16838" w:orient="portrait"/>
          <w:cols w:equalWidth="0" w:num="1">
            <w:col w:w="10300"/>
          </w:cols>
          <w:pgMar w:left="320" w:top="433" w:right="12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right="200"/>
        <w:spacing w:after="0" w:line="261" w:lineRule="auto"/>
        <w:rPr>
          <w:sz w:val="20"/>
          <w:szCs w:val="20"/>
          <w:color w:val="auto"/>
        </w:rPr>
      </w:pPr>
      <w:r>
        <w:rPr>
          <w:rFonts w:ascii="Arial" w:cs="Arial" w:eastAsia="Arial" w:hAnsi="Arial"/>
          <w:sz w:val="15"/>
          <w:szCs w:val="15"/>
          <w:color w:val="1A475F"/>
        </w:rPr>
        <w:t>Additionally, our Nominating and Corporate Governance Committee oversees our corporate responsibility strategies, initiatives and policies and assists in the Board’s oversight of our human capital management policies, strategies and initiatives. We believe our strong governance practices support the strategic objectives of the Company and to the benefit of all of our stakeholders.</w:t>
      </w:r>
    </w:p>
    <w:p>
      <w:pPr>
        <w:spacing w:after="0" w:line="51"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Our other governance highlights are discussed elsewhere in this Proxy Statement.</w:t>
      </w:r>
    </w:p>
    <w:p>
      <w:pPr>
        <w:spacing w:after="0" w:line="126"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27</w:t>
      </w:r>
    </w:p>
    <w:p>
      <w:pPr>
        <w:sectPr>
          <w:pgSz w:w="11900" w:h="16838" w:orient="portrait"/>
          <w:cols w:equalWidth="0" w:num="1">
            <w:col w:w="10340"/>
          </w:cols>
          <w:pgMar w:left="320" w:top="433" w:right="1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1A475F"/>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97575" cy="146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00" w:right="160" w:firstLine="756"/>
        <w:spacing w:after="0" w:line="251" w:lineRule="auto"/>
        <w:rPr>
          <w:sz w:val="20"/>
          <w:szCs w:val="20"/>
          <w:color w:val="auto"/>
        </w:rPr>
      </w:pPr>
      <w:r>
        <w:rPr>
          <w:rFonts w:ascii="Arial" w:cs="Arial" w:eastAsia="Arial" w:hAnsi="Arial"/>
          <w:sz w:val="15"/>
          <w:szCs w:val="15"/>
          <w:color w:val="1A475F"/>
        </w:rPr>
        <w:t>During 2025, we did not enter into any reportable related person transactions, nor is any related person transaction currently proposed, in which any of our directors or executive officers has a direct or indirect material interest. As of December 31, 2025, we had more than 1,450 client relationships with employers across a diverse array of industries and, from time to time, we may provide service offerings to certain of our 5% or greater shareholders. Any contracts and transactions with such shareholders are consummated in the ordinary course of business on an arm’s-length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120015</wp:posOffset>
            </wp:positionV>
            <wp:extent cx="5997575" cy="183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Policies and Procedures for Related Person Transactions</w:t>
      </w:r>
    </w:p>
    <w:p>
      <w:pPr>
        <w:spacing w:after="0" w:line="154" w:lineRule="exact"/>
        <w:rPr>
          <w:sz w:val="20"/>
          <w:szCs w:val="20"/>
          <w:color w:val="auto"/>
        </w:rPr>
      </w:pPr>
    </w:p>
    <w:p>
      <w:pPr>
        <w:ind w:left="900" w:firstLine="756"/>
        <w:spacing w:after="0" w:line="255" w:lineRule="auto"/>
        <w:rPr>
          <w:sz w:val="20"/>
          <w:szCs w:val="20"/>
          <w:color w:val="auto"/>
        </w:rPr>
      </w:pPr>
      <w:r>
        <w:rPr>
          <w:rFonts w:ascii="Arial" w:cs="Arial" w:eastAsia="Arial" w:hAnsi="Arial"/>
          <w:sz w:val="15"/>
          <w:szCs w:val="15"/>
          <w:color w:val="1A475F"/>
        </w:rPr>
        <w:t>The Board has adopted a written policy for the review and approval of transactions involving related persons. “Related Persons” consist of any person who is or was (since the beginning of the fiscal year) a director, a nominee for director or executive officer, beneficial owners of greater than 5% of any class of the Company’s common stock and the immediate family members of any of the foregoing persons. The Audit Committee is responsible for administering this policy.</w:t>
      </w:r>
    </w:p>
    <w:p>
      <w:pPr>
        <w:spacing w:after="0" w:line="54" w:lineRule="exact"/>
        <w:rPr>
          <w:sz w:val="20"/>
          <w:szCs w:val="20"/>
          <w:color w:val="auto"/>
        </w:rPr>
      </w:pPr>
    </w:p>
    <w:p>
      <w:pPr>
        <w:ind w:left="900" w:firstLine="756"/>
        <w:spacing w:after="0" w:line="244" w:lineRule="auto"/>
        <w:rPr>
          <w:sz w:val="20"/>
          <w:szCs w:val="20"/>
          <w:color w:val="auto"/>
        </w:rPr>
      </w:pPr>
      <w:r>
        <w:rPr>
          <w:rFonts w:ascii="Arial" w:cs="Arial" w:eastAsia="Arial" w:hAnsi="Arial"/>
          <w:sz w:val="15"/>
          <w:szCs w:val="15"/>
          <w:color w:val="1A475F"/>
        </w:rPr>
        <w:t>Transactions covered by the policy consist of any transaction, arrangement or relationship (including any indebtedness or guarantee of indebtedness) or any series of similar transactions, arrangements, or relationships, or currently proposed transaction, in which (1) the aggregate amount exceeds $120,000 with respect to any fiscal year, (2) the Company is a participant, and (3) any Related Person has or will have a direct or indirect material interest, other than solely as a result of being a director or having a less than 10% interest in a corporation, partnership or similar entity, where such Related Person is not the general partner of, and holds no other position in, any such partnership (an “Interested Transaction”). Under the policy, the Audit Committee and the Board have reviewed and determined that certain categories of Interested Transactions are deemed to be pre-approved or ratified by the Board even if the amounts will exceed $120,000. These are: (a) the employment and compensation arrangements required to be reported in the proxy statement;</w:t>
      </w:r>
    </w:p>
    <w:p>
      <w:pPr>
        <w:ind w:left="900" w:right="20" w:firstLine="1"/>
        <w:spacing w:after="0" w:line="244" w:lineRule="auto"/>
        <w:tabs>
          <w:tab w:leader="none" w:pos="1131" w:val="left"/>
        </w:tabs>
        <w:numPr>
          <w:ilvl w:val="0"/>
          <w:numId w:val="32"/>
        </w:numPr>
        <w:rPr>
          <w:rFonts w:ascii="Arial" w:cs="Arial" w:eastAsia="Arial" w:hAnsi="Arial"/>
          <w:sz w:val="15"/>
          <w:szCs w:val="15"/>
          <w:color w:val="1A475F"/>
        </w:rPr>
      </w:pPr>
      <w:r>
        <w:rPr>
          <w:rFonts w:ascii="Arial" w:cs="Arial" w:eastAsia="Arial" w:hAnsi="Arial"/>
          <w:sz w:val="15"/>
          <w:szCs w:val="15"/>
          <w:color w:val="1A475F"/>
        </w:rPr>
        <w:t>director compensation required to be reported in the proxy statement; (c) any transaction with another company if the aggregate amount involved does not exceed the greater of $1,000,000 or 2% of that company’s total revenues, or any transaction where the Company is indebted to another company if the total amount of indebtedness does not exceed 1% of that company’s total consolidated assets (in both cases, the pre-approval applies if the Related Person’s only relationship is as an employee (other than executive officer), director or beneficial owner of less than 10% of the other company’s shares; (d) any charitable contribution to a charitable organization at which a Related Person’s only relationship is as an employee (non-executive officer) or director, if the aggregate amount does not exceed the lesser of $1,000,000 or 2% of total receipts, (e) competitively bid or regulated public utility services transactions; (f) transactions involving trustee-type services; and (g) transactions where the Related Person’s interest arises solely from the ownership of our common stock and all common shareholders received the same benefit on a pro rata basis.</w:t>
      </w:r>
    </w:p>
    <w:p>
      <w:pPr>
        <w:spacing w:after="0" w:line="63" w:lineRule="exact"/>
        <w:rPr>
          <w:sz w:val="20"/>
          <w:szCs w:val="20"/>
          <w:color w:val="auto"/>
        </w:rPr>
      </w:pPr>
    </w:p>
    <w:p>
      <w:pPr>
        <w:ind w:left="900" w:right="140" w:firstLine="756"/>
        <w:spacing w:after="0" w:line="251" w:lineRule="auto"/>
        <w:rPr>
          <w:sz w:val="20"/>
          <w:szCs w:val="20"/>
          <w:color w:val="auto"/>
        </w:rPr>
      </w:pPr>
      <w:r>
        <w:rPr>
          <w:rFonts w:ascii="Arial" w:cs="Arial" w:eastAsia="Arial" w:hAnsi="Arial"/>
          <w:sz w:val="15"/>
          <w:szCs w:val="15"/>
          <w:color w:val="1A475F"/>
        </w:rPr>
        <w:t>The Audit Committee Chair has the authority to pre-approve any Interested Transaction with a Related Person in which the aggregate amount involved is expected to be less than $500,000. In determining whether to approve or ratify an Interested Transaction, the Audit Committee and the Chair, as applicable, may take into account such factors as they deem appropriate, which may include whether the Interested Transaction is on terms no less favorable than terms generally available to an unaffiliated third party under the same or similar circumstances and the extent of the Related Person’s interest in the transaction.</w:t>
      </w:r>
    </w:p>
    <w:p>
      <w:pPr>
        <w:spacing w:after="0" w:line="92"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28</w:t>
        <w:tab/>
        <w:t>|    Bright Horizons </w:t>
      </w:r>
    </w:p>
    <w:p>
      <w:pPr>
        <w:sectPr>
          <w:pgSz w:w="11900" w:h="16838" w:orient="portrait"/>
          <w:cols w:equalWidth="0" w:num="1">
            <w:col w:w="10280"/>
          </w:cols>
          <w:pgMar w:left="320" w:top="433" w:right="1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4300"/>
        <w:spacing w:after="0"/>
        <w:rPr>
          <w:sz w:val="20"/>
          <w:szCs w:val="20"/>
          <w:color w:val="auto"/>
        </w:rPr>
      </w:pPr>
      <w:r>
        <w:rPr>
          <w:rFonts w:ascii="Arial" w:cs="Arial" w:eastAsia="Arial" w:hAnsi="Arial"/>
          <w:sz w:val="15"/>
          <w:szCs w:val="15"/>
          <w:b w:val="1"/>
          <w:bCs w:val="1"/>
          <w:color w:val="1A475F"/>
        </w:rPr>
        <w:t>STOCK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97575" cy="146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334645</wp:posOffset>
            </wp:positionV>
            <wp:extent cx="5997575" cy="183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Security Ownership of Certain Beneficial Owners and Management</w:t>
      </w:r>
    </w:p>
    <w:p>
      <w:pPr>
        <w:spacing w:after="0" w:line="154" w:lineRule="exact"/>
        <w:rPr>
          <w:sz w:val="20"/>
          <w:szCs w:val="20"/>
          <w:color w:val="auto"/>
        </w:rPr>
      </w:pPr>
    </w:p>
    <w:p>
      <w:pPr>
        <w:ind w:left="900" w:right="60" w:firstLine="756"/>
        <w:spacing w:after="0" w:line="281" w:lineRule="auto"/>
        <w:rPr>
          <w:sz w:val="20"/>
          <w:szCs w:val="20"/>
          <w:color w:val="auto"/>
        </w:rPr>
      </w:pPr>
      <w:r>
        <w:rPr>
          <w:rFonts w:ascii="Arial" w:cs="Arial" w:eastAsia="Arial" w:hAnsi="Arial"/>
          <w:sz w:val="15"/>
          <w:szCs w:val="15"/>
          <w:color w:val="1A475F"/>
        </w:rPr>
        <w:t>The following table sets forth information regarding the beneficial ownership of our common stock as of April 8, 2026, except to the extent indicated otherwise in the footnotes, by:</w:t>
      </w:r>
    </w:p>
    <w:p>
      <w:pPr>
        <w:spacing w:after="0" w:line="1" w:lineRule="exact"/>
        <w:rPr>
          <w:sz w:val="20"/>
          <w:szCs w:val="20"/>
          <w:color w:val="auto"/>
        </w:rPr>
      </w:pPr>
    </w:p>
    <w:p>
      <w:pPr>
        <w:ind w:left="1640" w:right="60" w:hanging="368"/>
        <w:spacing w:after="0" w:line="281" w:lineRule="auto"/>
        <w:tabs>
          <w:tab w:leader="none" w:pos="1640" w:val="left"/>
        </w:tabs>
        <w:numPr>
          <w:ilvl w:val="0"/>
          <w:numId w:val="33"/>
        </w:numPr>
        <w:rPr>
          <w:rFonts w:ascii="Arial" w:cs="Arial" w:eastAsia="Arial" w:hAnsi="Arial"/>
          <w:sz w:val="15"/>
          <w:szCs w:val="15"/>
          <w:color w:val="1A475F"/>
        </w:rPr>
      </w:pPr>
      <w:r>
        <w:rPr>
          <w:rFonts w:ascii="Arial" w:cs="Arial" w:eastAsia="Arial" w:hAnsi="Arial"/>
          <w:sz w:val="15"/>
          <w:szCs w:val="15"/>
          <w:color w:val="1A475F"/>
        </w:rPr>
        <w:t>each person or group of affiliated persons known by us to be the beneficial owner of more than 5% of our common stock based upon filings with the SEC;</w:t>
      </w:r>
    </w:p>
    <w:p>
      <w:pPr>
        <w:spacing w:after="0" w:line="1" w:lineRule="exact"/>
        <w:rPr>
          <w:rFonts w:ascii="Arial" w:cs="Arial" w:eastAsia="Arial" w:hAnsi="Arial"/>
          <w:sz w:val="15"/>
          <w:szCs w:val="15"/>
          <w:color w:val="1A475F"/>
        </w:rPr>
      </w:pPr>
    </w:p>
    <w:p>
      <w:pPr>
        <w:ind w:left="1640" w:hanging="368"/>
        <w:spacing w:after="0"/>
        <w:tabs>
          <w:tab w:leader="none" w:pos="1640" w:val="left"/>
        </w:tabs>
        <w:numPr>
          <w:ilvl w:val="0"/>
          <w:numId w:val="33"/>
        </w:numPr>
        <w:rPr>
          <w:rFonts w:ascii="Arial" w:cs="Arial" w:eastAsia="Arial" w:hAnsi="Arial"/>
          <w:sz w:val="15"/>
          <w:szCs w:val="15"/>
          <w:color w:val="1A475F"/>
        </w:rPr>
      </w:pPr>
      <w:r>
        <w:rPr>
          <w:rFonts w:ascii="Arial" w:cs="Arial" w:eastAsia="Arial" w:hAnsi="Arial"/>
          <w:sz w:val="15"/>
          <w:szCs w:val="15"/>
          <w:color w:val="1A475F"/>
        </w:rPr>
        <w:t>each of our named executive officers, directors and director nominees; and</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33"/>
        </w:numPr>
        <w:rPr>
          <w:rFonts w:ascii="Arial" w:cs="Arial" w:eastAsia="Arial" w:hAnsi="Arial"/>
          <w:sz w:val="15"/>
          <w:szCs w:val="15"/>
          <w:color w:val="1A475F"/>
        </w:rPr>
      </w:pPr>
      <w:r>
        <w:rPr>
          <w:rFonts w:ascii="Arial" w:cs="Arial" w:eastAsia="Arial" w:hAnsi="Arial"/>
          <w:sz w:val="15"/>
          <w:szCs w:val="15"/>
          <w:color w:val="1A475F"/>
        </w:rPr>
        <w:t>all of our directors and executive officers as a group.</w:t>
      </w:r>
    </w:p>
    <w:p>
      <w:pPr>
        <w:spacing w:after="0" w:line="45" w:lineRule="exact"/>
        <w:rPr>
          <w:sz w:val="20"/>
          <w:szCs w:val="20"/>
          <w:color w:val="auto"/>
        </w:rPr>
      </w:pPr>
    </w:p>
    <w:p>
      <w:pPr>
        <w:ind w:left="900" w:right="800" w:firstLine="756"/>
        <w:spacing w:after="0" w:line="284" w:lineRule="auto"/>
        <w:rPr>
          <w:sz w:val="20"/>
          <w:szCs w:val="20"/>
          <w:color w:val="auto"/>
        </w:rPr>
      </w:pPr>
      <w:r>
        <w:rPr>
          <w:rFonts w:ascii="Arial" w:cs="Arial" w:eastAsia="Arial" w:hAnsi="Arial"/>
          <w:sz w:val="15"/>
          <w:szCs w:val="15"/>
          <w:color w:val="1A475F"/>
        </w:rPr>
        <w:t xml:space="preserve">The percentage ownership information shown in the table below is based upon </w:t>
      </w:r>
      <w:r>
        <w:rPr>
          <w:rFonts w:ascii="Arial" w:cs="Arial" w:eastAsia="Arial" w:hAnsi="Arial"/>
          <w:sz w:val="15"/>
          <w:szCs w:val="15"/>
          <w:b w:val="1"/>
          <w:bCs w:val="1"/>
          <w:color w:val="1A475F"/>
        </w:rPr>
        <w:t>52,825,361</w:t>
      </w:r>
      <w:r>
        <w:rPr>
          <w:rFonts w:ascii="Arial" w:cs="Arial" w:eastAsia="Arial" w:hAnsi="Arial"/>
          <w:sz w:val="15"/>
          <w:szCs w:val="15"/>
          <w:color w:val="1A475F"/>
        </w:rPr>
        <w:t xml:space="preserve"> shares of common stock outstanding as of April 8, 2026.</w:t>
      </w:r>
    </w:p>
    <w:p>
      <w:pPr>
        <w:spacing w:after="0" w:line="34" w:lineRule="exact"/>
        <w:rPr>
          <w:sz w:val="20"/>
          <w:szCs w:val="20"/>
          <w:color w:val="auto"/>
        </w:rPr>
      </w:pPr>
    </w:p>
    <w:p>
      <w:pPr>
        <w:ind w:left="900" w:right="60" w:firstLine="756"/>
        <w:spacing w:after="0" w:line="246" w:lineRule="auto"/>
        <w:rPr>
          <w:sz w:val="20"/>
          <w:szCs w:val="20"/>
          <w:color w:val="auto"/>
        </w:rPr>
      </w:pPr>
      <w:r>
        <w:rPr>
          <w:rFonts w:ascii="Arial" w:cs="Arial" w:eastAsia="Arial" w:hAnsi="Arial"/>
          <w:sz w:val="15"/>
          <w:szCs w:val="15"/>
          <w:color w:val="1A475F"/>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shares to persons who possess sole or shared voting or investment power with respect to such shares. The information does not necessarily indicate beneficial ownership for any other purpose. Under these rules, the number of shares of common stock deemed outstanding includes shares issuable upon exercise of stock options or settlement of vested director RSUs and securities held by the respective person or group which may be exercised or converted within 60 days after April 8, 2026. Such shares are deemed to be outstanding and beneficially owned by the person holding those securities for the purpose of computing the percentage ownership of that person or entity, but they are not treated as outstanding for the purpose of computing the percentage ownership of any other person or entity.</w:t>
      </w:r>
    </w:p>
    <w:p>
      <w:pPr>
        <w:spacing w:after="0" w:line="241" w:lineRule="exact"/>
        <w:rPr>
          <w:sz w:val="20"/>
          <w:szCs w:val="20"/>
          <w:color w:val="auto"/>
        </w:rPr>
      </w:pPr>
    </w:p>
    <w:p>
      <w:pPr>
        <w:ind w:left="900" w:right="160" w:firstLine="756"/>
        <w:spacing w:after="0" w:line="251" w:lineRule="auto"/>
        <w:rPr>
          <w:sz w:val="20"/>
          <w:szCs w:val="20"/>
          <w:color w:val="auto"/>
        </w:rPr>
      </w:pPr>
      <w:r>
        <w:rPr>
          <w:rFonts w:ascii="Arial" w:cs="Arial" w:eastAsia="Arial" w:hAnsi="Arial"/>
          <w:sz w:val="15"/>
          <w:szCs w:val="15"/>
          <w:color w:val="1A475F"/>
        </w:rPr>
        <w:t>Unless otherwise indicated below, the address for each listed director, officer and shareholder is c/o Bright Horizons Family Solutions Inc., 2 Wells Avenue, Newton, MA 02459. The inclusion in the following table of those shares, however, does not constitute an admission that the named shareholder is a direct or indirect beneficial owner. Unless otherwise indicated and subject to applicable community property laws, to our knowledge, each shareholder named in the following table possesses sole voting and investment power over the shares listed, except for those jointly owned with that person’s spouse.</w:t>
      </w:r>
    </w:p>
    <w:p>
      <w:pPr>
        <w:spacing w:after="0" w:line="173" w:lineRule="exact"/>
        <w:rPr>
          <w:sz w:val="20"/>
          <w:szCs w:val="20"/>
          <w:color w:val="auto"/>
        </w:rPr>
      </w:pPr>
    </w:p>
    <w:tbl>
      <w:tblPr>
        <w:tblLayout w:type="fixed"/>
        <w:tblInd w:w="900" w:type="dxa"/>
        <w:tblCellMar>
          <w:top w:w="0" w:type="dxa"/>
          <w:left w:w="0" w:type="dxa"/>
          <w:bottom w:w="0" w:type="dxa"/>
          <w:right w:w="0" w:type="dxa"/>
        </w:tblCellMar>
      </w:tblPr>
      <w:tr>
        <w:trPr>
          <w:trHeight w:val="202"/>
        </w:trPr>
        <w:tc>
          <w:tcPr>
            <w:tcW w:w="5720" w:type="dxa"/>
            <w:vAlign w:val="bottom"/>
            <w:gridSpan w:val="3"/>
          </w:tcPr>
          <w:p>
            <w:pPr>
              <w:spacing w:after="0"/>
              <w:rPr>
                <w:sz w:val="20"/>
                <w:szCs w:val="20"/>
                <w:color w:val="auto"/>
              </w:rPr>
            </w:pPr>
            <w:r>
              <w:rPr>
                <w:rFonts w:ascii="Arial" w:cs="Arial" w:eastAsia="Arial" w:hAnsi="Arial"/>
                <w:sz w:val="15"/>
                <w:szCs w:val="15"/>
                <w:b w:val="1"/>
                <w:bCs w:val="1"/>
                <w:color w:val="1A475F"/>
              </w:rPr>
              <w:t>Name and Address of Beneficial Owner</w:t>
            </w:r>
          </w:p>
        </w:tc>
        <w:tc>
          <w:tcPr>
            <w:tcW w:w="2500" w:type="dxa"/>
            <w:vAlign w:val="bottom"/>
            <w:gridSpan w:val="2"/>
          </w:tcPr>
          <w:p>
            <w:pPr>
              <w:ind w:left="340"/>
              <w:spacing w:after="0"/>
              <w:rPr>
                <w:sz w:val="20"/>
                <w:szCs w:val="20"/>
                <w:color w:val="auto"/>
              </w:rPr>
            </w:pPr>
            <w:r>
              <w:rPr>
                <w:rFonts w:ascii="Arial" w:cs="Arial" w:eastAsia="Arial" w:hAnsi="Arial"/>
                <w:sz w:val="15"/>
                <w:szCs w:val="15"/>
                <w:b w:val="1"/>
                <w:bCs w:val="1"/>
                <w:color w:val="1A475F"/>
              </w:rPr>
              <w:t>Number of Shares</w:t>
            </w:r>
          </w:p>
        </w:tc>
        <w:tc>
          <w:tcPr>
            <w:tcW w:w="1240" w:type="dxa"/>
            <w:vAlign w:val="bottom"/>
            <w:gridSpan w:val="2"/>
          </w:tcPr>
          <w:p>
            <w:pPr>
              <w:ind w:left="200"/>
              <w:spacing w:after="0"/>
              <w:rPr>
                <w:sz w:val="20"/>
                <w:szCs w:val="20"/>
                <w:color w:val="auto"/>
              </w:rPr>
            </w:pPr>
            <w:r>
              <w:rPr>
                <w:rFonts w:ascii="Arial" w:cs="Arial" w:eastAsia="Arial" w:hAnsi="Arial"/>
                <w:sz w:val="15"/>
                <w:szCs w:val="15"/>
                <w:b w:val="1"/>
                <w:bCs w:val="1"/>
                <w:color w:val="1A475F"/>
              </w:rPr>
              <w:t>Percentage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4"/>
                <w:szCs w:val="14"/>
                <w:b w:val="1"/>
                <w:bCs w:val="1"/>
                <w:i w:val="1"/>
                <w:iCs w:val="1"/>
                <w:color w:val="1A475F"/>
              </w:rPr>
              <w:t>Beneficial holders of more than 5% of our outstanding common stock:</w:t>
            </w:r>
          </w:p>
        </w:tc>
        <w:tc>
          <w:tcPr>
            <w:tcW w:w="5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720" w:type="dxa"/>
            <w:vAlign w:val="bottom"/>
            <w:gridSpan w:val="3"/>
          </w:tcPr>
          <w:p>
            <w:pPr>
              <w:spacing w:after="0"/>
              <w:rPr>
                <w:sz w:val="20"/>
                <w:szCs w:val="20"/>
                <w:color w:val="auto"/>
              </w:rPr>
            </w:pPr>
            <w:r>
              <w:rPr>
                <w:rFonts w:ascii="Arial" w:cs="Arial" w:eastAsia="Arial" w:hAnsi="Arial"/>
                <w:sz w:val="14"/>
                <w:szCs w:val="14"/>
                <w:color w:val="1A475F"/>
              </w:rPr>
              <w:t>Durable Capital Partners LP</w:t>
            </w:r>
            <w:r>
              <w:rPr>
                <w:rFonts w:ascii="Arial" w:cs="Arial" w:eastAsia="Arial" w:hAnsi="Arial"/>
                <w:sz w:val="20"/>
                <w:szCs w:val="20"/>
                <w:color w:val="1A475F"/>
                <w:vertAlign w:val="superscript"/>
              </w:rPr>
              <w:t>(1)</w:t>
            </w:r>
          </w:p>
        </w:tc>
        <w:tc>
          <w:tcPr>
            <w:tcW w:w="2000" w:type="dxa"/>
            <w:vAlign w:val="bottom"/>
          </w:tcPr>
          <w:p>
            <w:pPr>
              <w:jc w:val="right"/>
              <w:ind w:right="590"/>
              <w:spacing w:after="0"/>
              <w:rPr>
                <w:sz w:val="20"/>
                <w:szCs w:val="20"/>
                <w:color w:val="auto"/>
              </w:rPr>
            </w:pPr>
            <w:r>
              <w:rPr>
                <w:rFonts w:ascii="Arial" w:cs="Arial" w:eastAsia="Arial" w:hAnsi="Arial"/>
                <w:sz w:val="14"/>
                <w:szCs w:val="14"/>
                <w:color w:val="1A475F"/>
              </w:rPr>
              <w:t>4,303,241</w:t>
            </w:r>
          </w:p>
        </w:tc>
        <w:tc>
          <w:tcPr>
            <w:tcW w:w="50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1A475F"/>
              </w:rPr>
              <w:t>8.15%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1A475F"/>
              </w:rPr>
              <w:t>Goldman Sachs Asset Management, L.P.</w:t>
            </w:r>
            <w:r>
              <w:rPr>
                <w:rFonts w:ascii="Arial" w:cs="Arial" w:eastAsia="Arial" w:hAnsi="Arial"/>
                <w:sz w:val="18"/>
                <w:szCs w:val="18"/>
                <w:color w:val="1A475F"/>
                <w:vertAlign w:val="superscript"/>
              </w:rPr>
              <w:t>(2)</w:t>
            </w:r>
          </w:p>
        </w:tc>
        <w:tc>
          <w:tcPr>
            <w:tcW w:w="200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1A475F"/>
              </w:rPr>
              <w:t>2,982,913</w:t>
            </w: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1A475F"/>
              </w:rPr>
              <w:t>5.65%</w:t>
            </w:r>
          </w:p>
        </w:tc>
        <w:tc>
          <w:tcPr>
            <w:tcW w:w="0" w:type="dxa"/>
            <w:vAlign w:val="bottom"/>
          </w:tcPr>
          <w:p>
            <w:pPr>
              <w:spacing w:after="0"/>
              <w:rPr>
                <w:sz w:val="1"/>
                <w:szCs w:val="1"/>
                <w:color w:val="auto"/>
              </w:rPr>
            </w:pPr>
          </w:p>
        </w:tc>
      </w:tr>
      <w:tr>
        <w:trPr>
          <w:trHeight w:val="255"/>
        </w:trPr>
        <w:tc>
          <w:tcPr>
            <w:tcW w:w="5720" w:type="dxa"/>
            <w:vAlign w:val="bottom"/>
            <w:gridSpan w:val="3"/>
          </w:tcPr>
          <w:p>
            <w:pPr>
              <w:spacing w:after="0"/>
              <w:rPr>
                <w:sz w:val="20"/>
                <w:szCs w:val="20"/>
                <w:color w:val="auto"/>
              </w:rPr>
            </w:pPr>
            <w:r>
              <w:rPr>
                <w:rFonts w:ascii="Arial" w:cs="Arial" w:eastAsia="Arial" w:hAnsi="Arial"/>
                <w:sz w:val="14"/>
                <w:szCs w:val="14"/>
                <w:color w:val="1A475F"/>
              </w:rPr>
              <w:t>Brown Advisory Incorporated</w:t>
            </w:r>
            <w:r>
              <w:rPr>
                <w:rFonts w:ascii="Arial" w:cs="Arial" w:eastAsia="Arial" w:hAnsi="Arial"/>
                <w:sz w:val="20"/>
                <w:szCs w:val="20"/>
                <w:color w:val="1A475F"/>
                <w:vertAlign w:val="superscript"/>
              </w:rPr>
              <w:t>(3)</w:t>
            </w:r>
          </w:p>
        </w:tc>
        <w:tc>
          <w:tcPr>
            <w:tcW w:w="2000" w:type="dxa"/>
            <w:vAlign w:val="bottom"/>
          </w:tcPr>
          <w:p>
            <w:pPr>
              <w:jc w:val="right"/>
              <w:ind w:right="590"/>
              <w:spacing w:after="0"/>
              <w:rPr>
                <w:sz w:val="20"/>
                <w:szCs w:val="20"/>
                <w:color w:val="auto"/>
              </w:rPr>
            </w:pPr>
            <w:r>
              <w:rPr>
                <w:rFonts w:ascii="Arial" w:cs="Arial" w:eastAsia="Arial" w:hAnsi="Arial"/>
                <w:sz w:val="14"/>
                <w:szCs w:val="14"/>
                <w:color w:val="1A475F"/>
              </w:rPr>
              <w:t>2,923,302</w:t>
            </w:r>
          </w:p>
        </w:tc>
        <w:tc>
          <w:tcPr>
            <w:tcW w:w="50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1A475F"/>
              </w:rPr>
              <w:t>5.53%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1A475F"/>
              </w:rPr>
              <w:t>Kayne Anderson Rudnick Investment Management, LLC</w:t>
            </w:r>
            <w:r>
              <w:rPr>
                <w:rFonts w:ascii="Arial" w:cs="Arial" w:eastAsia="Arial" w:hAnsi="Arial"/>
                <w:sz w:val="18"/>
                <w:szCs w:val="18"/>
                <w:color w:val="1A475F"/>
                <w:vertAlign w:val="superscript"/>
              </w:rPr>
              <w:t>(4)</w:t>
            </w:r>
          </w:p>
        </w:tc>
        <w:tc>
          <w:tcPr>
            <w:tcW w:w="200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1A475F"/>
              </w:rPr>
              <w:t>2,745,795</w:t>
            </w: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1A475F"/>
              </w:rPr>
              <w:t>5.20%</w:t>
            </w:r>
          </w:p>
        </w:tc>
        <w:tc>
          <w:tcPr>
            <w:tcW w:w="0" w:type="dxa"/>
            <w:vAlign w:val="bottom"/>
          </w:tcPr>
          <w:p>
            <w:pPr>
              <w:spacing w:after="0"/>
              <w:rPr>
                <w:sz w:val="1"/>
                <w:szCs w:val="1"/>
                <w:color w:val="auto"/>
              </w:rPr>
            </w:pPr>
          </w:p>
        </w:tc>
      </w:tr>
      <w:tr>
        <w:trPr>
          <w:trHeight w:val="226"/>
        </w:trPr>
        <w:tc>
          <w:tcPr>
            <w:tcW w:w="5720" w:type="dxa"/>
            <w:vAlign w:val="bottom"/>
            <w:gridSpan w:val="3"/>
          </w:tcPr>
          <w:p>
            <w:pPr>
              <w:spacing w:after="0"/>
              <w:rPr>
                <w:sz w:val="20"/>
                <w:szCs w:val="20"/>
                <w:color w:val="auto"/>
              </w:rPr>
            </w:pPr>
            <w:r>
              <w:rPr>
                <w:rFonts w:ascii="Arial" w:cs="Arial" w:eastAsia="Arial" w:hAnsi="Arial"/>
                <w:sz w:val="14"/>
                <w:szCs w:val="14"/>
                <w:b w:val="1"/>
                <w:bCs w:val="1"/>
                <w:i w:val="1"/>
                <w:iCs w:val="1"/>
                <w:color w:val="1A475F"/>
              </w:rPr>
              <w:t>Directors and executive officers:</w:t>
            </w:r>
          </w:p>
        </w:tc>
        <w:tc>
          <w:tcPr>
            <w:tcW w:w="2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0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1A475F"/>
              </w:rPr>
              <w:t>Mary Lou Burke Afonso</w:t>
            </w:r>
            <w:r>
              <w:rPr>
                <w:rFonts w:ascii="Arial" w:cs="Arial" w:eastAsia="Arial" w:hAnsi="Arial"/>
                <w:sz w:val="18"/>
                <w:szCs w:val="18"/>
                <w:color w:val="1A475F"/>
                <w:vertAlign w:val="superscript"/>
              </w:rPr>
              <w:t>(5)</w:t>
            </w:r>
          </w:p>
        </w:tc>
        <w:tc>
          <w:tcPr>
            <w:tcW w:w="200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1A475F"/>
              </w:rPr>
              <w:t>66,248</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255"/>
        </w:trPr>
        <w:tc>
          <w:tcPr>
            <w:tcW w:w="5720" w:type="dxa"/>
            <w:vAlign w:val="bottom"/>
            <w:gridSpan w:val="3"/>
          </w:tcPr>
          <w:p>
            <w:pPr>
              <w:spacing w:after="0"/>
              <w:rPr>
                <w:sz w:val="20"/>
                <w:szCs w:val="20"/>
                <w:color w:val="auto"/>
              </w:rPr>
            </w:pPr>
            <w:r>
              <w:rPr>
                <w:rFonts w:ascii="Arial" w:cs="Arial" w:eastAsia="Arial" w:hAnsi="Arial"/>
                <w:sz w:val="14"/>
                <w:szCs w:val="14"/>
                <w:color w:val="1A475F"/>
              </w:rPr>
              <w:t>Lawrence M. Alleva</w:t>
            </w:r>
            <w:r>
              <w:rPr>
                <w:rFonts w:ascii="Arial" w:cs="Arial" w:eastAsia="Arial" w:hAnsi="Arial"/>
                <w:sz w:val="20"/>
                <w:szCs w:val="20"/>
                <w:color w:val="1A475F"/>
                <w:vertAlign w:val="superscript"/>
              </w:rPr>
              <w:t>(6)</w:t>
            </w:r>
          </w:p>
        </w:tc>
        <w:tc>
          <w:tcPr>
            <w:tcW w:w="2000" w:type="dxa"/>
            <w:vAlign w:val="bottom"/>
          </w:tcPr>
          <w:p>
            <w:pPr>
              <w:jc w:val="right"/>
              <w:ind w:right="590"/>
              <w:spacing w:after="0"/>
              <w:rPr>
                <w:sz w:val="20"/>
                <w:szCs w:val="20"/>
                <w:color w:val="auto"/>
              </w:rPr>
            </w:pPr>
            <w:r>
              <w:rPr>
                <w:rFonts w:ascii="Arial" w:cs="Arial" w:eastAsia="Arial" w:hAnsi="Arial"/>
                <w:sz w:val="14"/>
                <w:szCs w:val="14"/>
                <w:color w:val="1A475F"/>
              </w:rPr>
              <w:t>11,240</w:t>
            </w:r>
          </w:p>
        </w:tc>
        <w:tc>
          <w:tcPr>
            <w:tcW w:w="500" w:type="dxa"/>
            <w:vAlign w:val="bottom"/>
          </w:tcPr>
          <w:p>
            <w:pPr>
              <w:spacing w:after="0"/>
              <w:rPr>
                <w:sz w:val="22"/>
                <w:szCs w:val="22"/>
                <w:color w:val="auto"/>
              </w:rPr>
            </w:pPr>
          </w:p>
        </w:tc>
        <w:tc>
          <w:tcPr>
            <w:tcW w:w="720" w:type="dxa"/>
            <w:vAlign w:val="bottom"/>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1A475F"/>
              </w:rPr>
              <w:t>Julie Atkinson</w:t>
            </w:r>
            <w:r>
              <w:rPr>
                <w:rFonts w:ascii="Arial" w:cs="Arial" w:eastAsia="Arial" w:hAnsi="Arial"/>
                <w:sz w:val="18"/>
                <w:szCs w:val="18"/>
                <w:color w:val="1A475F"/>
                <w:vertAlign w:val="superscript"/>
              </w:rPr>
              <w:t>(7)</w:t>
            </w:r>
          </w:p>
        </w:tc>
        <w:tc>
          <w:tcPr>
            <w:tcW w:w="200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1A475F"/>
              </w:rPr>
              <w:t>9,282</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255"/>
        </w:trPr>
        <w:tc>
          <w:tcPr>
            <w:tcW w:w="5720" w:type="dxa"/>
            <w:vAlign w:val="bottom"/>
            <w:gridSpan w:val="3"/>
          </w:tcPr>
          <w:p>
            <w:pPr>
              <w:spacing w:after="0"/>
              <w:rPr>
                <w:sz w:val="20"/>
                <w:szCs w:val="20"/>
                <w:color w:val="auto"/>
              </w:rPr>
            </w:pPr>
            <w:r>
              <w:rPr>
                <w:rFonts w:ascii="Arial" w:cs="Arial" w:eastAsia="Arial" w:hAnsi="Arial"/>
                <w:sz w:val="14"/>
                <w:szCs w:val="14"/>
                <w:color w:val="1A475F"/>
              </w:rPr>
              <w:t>Joshua Bekenstein</w:t>
            </w:r>
            <w:r>
              <w:rPr>
                <w:rFonts w:ascii="Arial" w:cs="Arial" w:eastAsia="Arial" w:hAnsi="Arial"/>
                <w:sz w:val="20"/>
                <w:szCs w:val="20"/>
                <w:color w:val="1A475F"/>
                <w:vertAlign w:val="superscript"/>
              </w:rPr>
              <w:t>(8)</w:t>
            </w:r>
          </w:p>
        </w:tc>
        <w:tc>
          <w:tcPr>
            <w:tcW w:w="2000" w:type="dxa"/>
            <w:vAlign w:val="bottom"/>
          </w:tcPr>
          <w:p>
            <w:pPr>
              <w:jc w:val="right"/>
              <w:ind w:right="590"/>
              <w:spacing w:after="0"/>
              <w:rPr>
                <w:sz w:val="20"/>
                <w:szCs w:val="20"/>
                <w:color w:val="auto"/>
              </w:rPr>
            </w:pPr>
            <w:r>
              <w:rPr>
                <w:rFonts w:ascii="Arial" w:cs="Arial" w:eastAsia="Arial" w:hAnsi="Arial"/>
                <w:sz w:val="14"/>
                <w:szCs w:val="14"/>
                <w:color w:val="1A475F"/>
              </w:rPr>
              <w:t>10,682</w:t>
            </w:r>
          </w:p>
        </w:tc>
        <w:tc>
          <w:tcPr>
            <w:tcW w:w="500" w:type="dxa"/>
            <w:vAlign w:val="bottom"/>
          </w:tcPr>
          <w:p>
            <w:pPr>
              <w:spacing w:after="0"/>
              <w:rPr>
                <w:sz w:val="22"/>
                <w:szCs w:val="22"/>
                <w:color w:val="auto"/>
              </w:rPr>
            </w:pPr>
          </w:p>
        </w:tc>
        <w:tc>
          <w:tcPr>
            <w:tcW w:w="720" w:type="dxa"/>
            <w:vAlign w:val="bottom"/>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1A475F"/>
              </w:rPr>
              <w:t>Mandy Berman</w:t>
            </w:r>
            <w:r>
              <w:rPr>
                <w:rFonts w:ascii="Arial" w:cs="Arial" w:eastAsia="Arial" w:hAnsi="Arial"/>
                <w:sz w:val="18"/>
                <w:szCs w:val="18"/>
                <w:color w:val="1A475F"/>
                <w:vertAlign w:val="superscript"/>
              </w:rPr>
              <w:t>(9)</w:t>
            </w:r>
          </w:p>
        </w:tc>
        <w:tc>
          <w:tcPr>
            <w:tcW w:w="200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1A475F"/>
              </w:rPr>
              <w:t>22,676</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255"/>
        </w:trPr>
        <w:tc>
          <w:tcPr>
            <w:tcW w:w="5720" w:type="dxa"/>
            <w:vAlign w:val="bottom"/>
            <w:gridSpan w:val="3"/>
          </w:tcPr>
          <w:p>
            <w:pPr>
              <w:spacing w:after="0"/>
              <w:rPr>
                <w:sz w:val="20"/>
                <w:szCs w:val="20"/>
                <w:color w:val="auto"/>
              </w:rPr>
            </w:pPr>
            <w:r>
              <w:rPr>
                <w:rFonts w:ascii="Arial" w:cs="Arial" w:eastAsia="Arial" w:hAnsi="Arial"/>
                <w:sz w:val="14"/>
                <w:szCs w:val="14"/>
                <w:color w:val="1A475F"/>
              </w:rPr>
              <w:t>Elizabeth J. Boland</w:t>
            </w:r>
            <w:r>
              <w:rPr>
                <w:rFonts w:ascii="Arial" w:cs="Arial" w:eastAsia="Arial" w:hAnsi="Arial"/>
                <w:sz w:val="20"/>
                <w:szCs w:val="20"/>
                <w:color w:val="1A475F"/>
                <w:vertAlign w:val="superscript"/>
              </w:rPr>
              <w:t>(10)</w:t>
            </w:r>
          </w:p>
        </w:tc>
        <w:tc>
          <w:tcPr>
            <w:tcW w:w="2000" w:type="dxa"/>
            <w:vAlign w:val="bottom"/>
          </w:tcPr>
          <w:p>
            <w:pPr>
              <w:jc w:val="right"/>
              <w:ind w:right="590"/>
              <w:spacing w:after="0"/>
              <w:rPr>
                <w:sz w:val="20"/>
                <w:szCs w:val="20"/>
                <w:color w:val="auto"/>
              </w:rPr>
            </w:pPr>
            <w:r>
              <w:rPr>
                <w:rFonts w:ascii="Arial" w:cs="Arial" w:eastAsia="Arial" w:hAnsi="Arial"/>
                <w:sz w:val="14"/>
                <w:szCs w:val="14"/>
                <w:color w:val="1A475F"/>
              </w:rPr>
              <w:t>93,653</w:t>
            </w:r>
          </w:p>
        </w:tc>
        <w:tc>
          <w:tcPr>
            <w:tcW w:w="500" w:type="dxa"/>
            <w:vAlign w:val="bottom"/>
          </w:tcPr>
          <w:p>
            <w:pPr>
              <w:spacing w:after="0"/>
              <w:rPr>
                <w:sz w:val="22"/>
                <w:szCs w:val="22"/>
                <w:color w:val="auto"/>
              </w:rPr>
            </w:pPr>
          </w:p>
        </w:tc>
        <w:tc>
          <w:tcPr>
            <w:tcW w:w="720" w:type="dxa"/>
            <w:vAlign w:val="bottom"/>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1A475F"/>
              </w:rPr>
              <w:t>Jordan Hitch</w:t>
            </w:r>
            <w:r>
              <w:rPr>
                <w:rFonts w:ascii="Arial" w:cs="Arial" w:eastAsia="Arial" w:hAnsi="Arial"/>
                <w:sz w:val="18"/>
                <w:szCs w:val="18"/>
                <w:color w:val="1A475F"/>
                <w:vertAlign w:val="superscript"/>
              </w:rPr>
              <w:t>(11)</w:t>
            </w:r>
          </w:p>
        </w:tc>
        <w:tc>
          <w:tcPr>
            <w:tcW w:w="200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1A475F"/>
              </w:rPr>
              <w:t>10,682</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255"/>
        </w:trPr>
        <w:tc>
          <w:tcPr>
            <w:tcW w:w="5720" w:type="dxa"/>
            <w:vAlign w:val="bottom"/>
            <w:gridSpan w:val="3"/>
          </w:tcPr>
          <w:p>
            <w:pPr>
              <w:spacing w:after="0"/>
              <w:rPr>
                <w:sz w:val="20"/>
                <w:szCs w:val="20"/>
                <w:color w:val="auto"/>
              </w:rPr>
            </w:pPr>
            <w:r>
              <w:rPr>
                <w:rFonts w:ascii="Arial" w:cs="Arial" w:eastAsia="Arial" w:hAnsi="Arial"/>
                <w:sz w:val="14"/>
                <w:szCs w:val="14"/>
                <w:color w:val="1A475F"/>
              </w:rPr>
              <w:t>Stephen H. Kramer</w:t>
            </w:r>
            <w:r>
              <w:rPr>
                <w:rFonts w:ascii="Arial" w:cs="Arial" w:eastAsia="Arial" w:hAnsi="Arial"/>
                <w:sz w:val="20"/>
                <w:szCs w:val="20"/>
                <w:color w:val="1A475F"/>
                <w:vertAlign w:val="superscript"/>
              </w:rPr>
              <w:t>(12)</w:t>
            </w:r>
          </w:p>
        </w:tc>
        <w:tc>
          <w:tcPr>
            <w:tcW w:w="2000" w:type="dxa"/>
            <w:vAlign w:val="bottom"/>
          </w:tcPr>
          <w:p>
            <w:pPr>
              <w:jc w:val="right"/>
              <w:ind w:right="590"/>
              <w:spacing w:after="0"/>
              <w:rPr>
                <w:sz w:val="20"/>
                <w:szCs w:val="20"/>
                <w:color w:val="auto"/>
              </w:rPr>
            </w:pPr>
            <w:r>
              <w:rPr>
                <w:rFonts w:ascii="Arial" w:cs="Arial" w:eastAsia="Arial" w:hAnsi="Arial"/>
                <w:sz w:val="14"/>
                <w:szCs w:val="14"/>
                <w:color w:val="1A475F"/>
              </w:rPr>
              <w:t>147,255</w:t>
            </w:r>
          </w:p>
        </w:tc>
        <w:tc>
          <w:tcPr>
            <w:tcW w:w="500" w:type="dxa"/>
            <w:vAlign w:val="bottom"/>
          </w:tcPr>
          <w:p>
            <w:pPr>
              <w:spacing w:after="0"/>
              <w:rPr>
                <w:sz w:val="22"/>
                <w:szCs w:val="22"/>
                <w:color w:val="auto"/>
              </w:rPr>
            </w:pPr>
          </w:p>
        </w:tc>
        <w:tc>
          <w:tcPr>
            <w:tcW w:w="720" w:type="dxa"/>
            <w:vAlign w:val="bottom"/>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1A475F"/>
              </w:rPr>
              <w:t>David H. Lissy</w:t>
            </w:r>
            <w:r>
              <w:rPr>
                <w:rFonts w:ascii="Arial" w:cs="Arial" w:eastAsia="Arial" w:hAnsi="Arial"/>
                <w:sz w:val="18"/>
                <w:szCs w:val="18"/>
                <w:color w:val="1A475F"/>
                <w:vertAlign w:val="superscript"/>
              </w:rPr>
              <w:t>(13)</w:t>
            </w:r>
          </w:p>
        </w:tc>
        <w:tc>
          <w:tcPr>
            <w:tcW w:w="200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1A475F"/>
              </w:rPr>
              <w:t>245,171</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255"/>
        </w:trPr>
        <w:tc>
          <w:tcPr>
            <w:tcW w:w="5720" w:type="dxa"/>
            <w:vAlign w:val="bottom"/>
            <w:gridSpan w:val="3"/>
          </w:tcPr>
          <w:p>
            <w:pPr>
              <w:spacing w:after="0"/>
              <w:rPr>
                <w:sz w:val="20"/>
                <w:szCs w:val="20"/>
                <w:color w:val="auto"/>
              </w:rPr>
            </w:pPr>
            <w:r>
              <w:rPr>
                <w:rFonts w:ascii="Arial" w:cs="Arial" w:eastAsia="Arial" w:hAnsi="Arial"/>
                <w:sz w:val="14"/>
                <w:szCs w:val="14"/>
                <w:color w:val="1A475F"/>
              </w:rPr>
              <w:t>Rosamund Marshall</w:t>
            </w:r>
            <w:r>
              <w:rPr>
                <w:rFonts w:ascii="Arial" w:cs="Arial" w:eastAsia="Arial" w:hAnsi="Arial"/>
                <w:sz w:val="20"/>
                <w:szCs w:val="20"/>
                <w:color w:val="1A475F"/>
                <w:vertAlign w:val="superscript"/>
              </w:rPr>
              <w:t>(14)</w:t>
            </w:r>
          </w:p>
        </w:tc>
        <w:tc>
          <w:tcPr>
            <w:tcW w:w="2000" w:type="dxa"/>
            <w:vAlign w:val="bottom"/>
          </w:tcPr>
          <w:p>
            <w:pPr>
              <w:jc w:val="right"/>
              <w:ind w:right="590"/>
              <w:spacing w:after="0"/>
              <w:rPr>
                <w:sz w:val="20"/>
                <w:szCs w:val="20"/>
                <w:color w:val="auto"/>
              </w:rPr>
            </w:pPr>
            <w:r>
              <w:rPr>
                <w:rFonts w:ascii="Arial" w:cs="Arial" w:eastAsia="Arial" w:hAnsi="Arial"/>
                <w:sz w:val="14"/>
                <w:szCs w:val="14"/>
                <w:color w:val="1A475F"/>
              </w:rPr>
              <w:t>64,506</w:t>
            </w:r>
          </w:p>
        </w:tc>
        <w:tc>
          <w:tcPr>
            <w:tcW w:w="500" w:type="dxa"/>
            <w:vAlign w:val="bottom"/>
          </w:tcPr>
          <w:p>
            <w:pPr>
              <w:spacing w:after="0"/>
              <w:rPr>
                <w:sz w:val="22"/>
                <w:szCs w:val="22"/>
                <w:color w:val="auto"/>
              </w:rPr>
            </w:pPr>
          </w:p>
        </w:tc>
        <w:tc>
          <w:tcPr>
            <w:tcW w:w="720" w:type="dxa"/>
            <w:vAlign w:val="bottom"/>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1A475F"/>
              </w:rPr>
              <w:t>Laurel J. Richie</w:t>
            </w:r>
            <w:r>
              <w:rPr>
                <w:rFonts w:ascii="Arial" w:cs="Arial" w:eastAsia="Arial" w:hAnsi="Arial"/>
                <w:sz w:val="18"/>
                <w:szCs w:val="18"/>
                <w:color w:val="1A475F"/>
                <w:vertAlign w:val="superscript"/>
              </w:rPr>
              <w:t>(15)</w:t>
            </w:r>
          </w:p>
        </w:tc>
        <w:tc>
          <w:tcPr>
            <w:tcW w:w="200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1A475F"/>
              </w:rPr>
              <w:t>6,673</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255"/>
        </w:trPr>
        <w:tc>
          <w:tcPr>
            <w:tcW w:w="5720" w:type="dxa"/>
            <w:vAlign w:val="bottom"/>
            <w:gridSpan w:val="3"/>
          </w:tcPr>
          <w:p>
            <w:pPr>
              <w:spacing w:after="0"/>
              <w:rPr>
                <w:sz w:val="20"/>
                <w:szCs w:val="20"/>
                <w:color w:val="auto"/>
              </w:rPr>
            </w:pPr>
            <w:r>
              <w:rPr>
                <w:rFonts w:ascii="Arial" w:cs="Arial" w:eastAsia="Arial" w:hAnsi="Arial"/>
                <w:sz w:val="14"/>
                <w:szCs w:val="14"/>
                <w:color w:val="1A475F"/>
              </w:rPr>
              <w:t>Jennifer Schulz</w:t>
            </w:r>
            <w:r>
              <w:rPr>
                <w:rFonts w:ascii="Arial" w:cs="Arial" w:eastAsia="Arial" w:hAnsi="Arial"/>
                <w:sz w:val="20"/>
                <w:szCs w:val="20"/>
                <w:color w:val="1A475F"/>
                <w:vertAlign w:val="superscript"/>
              </w:rPr>
              <w:t>(16)</w:t>
            </w:r>
          </w:p>
        </w:tc>
        <w:tc>
          <w:tcPr>
            <w:tcW w:w="2000" w:type="dxa"/>
            <w:vAlign w:val="bottom"/>
          </w:tcPr>
          <w:p>
            <w:pPr>
              <w:jc w:val="right"/>
              <w:ind w:right="590"/>
              <w:spacing w:after="0"/>
              <w:rPr>
                <w:sz w:val="20"/>
                <w:szCs w:val="20"/>
                <w:color w:val="auto"/>
              </w:rPr>
            </w:pPr>
            <w:r>
              <w:rPr>
                <w:rFonts w:ascii="Arial" w:cs="Arial" w:eastAsia="Arial" w:hAnsi="Arial"/>
                <w:sz w:val="14"/>
                <w:szCs w:val="14"/>
                <w:color w:val="1A475F"/>
              </w:rPr>
              <w:t>1,518</w:t>
            </w:r>
          </w:p>
        </w:tc>
        <w:tc>
          <w:tcPr>
            <w:tcW w:w="500" w:type="dxa"/>
            <w:vAlign w:val="bottom"/>
          </w:tcPr>
          <w:p>
            <w:pPr>
              <w:spacing w:after="0"/>
              <w:rPr>
                <w:sz w:val="22"/>
                <w:szCs w:val="22"/>
                <w:color w:val="auto"/>
              </w:rPr>
            </w:pPr>
          </w:p>
        </w:tc>
        <w:tc>
          <w:tcPr>
            <w:tcW w:w="720" w:type="dxa"/>
            <w:vAlign w:val="bottom"/>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1A475F"/>
              </w:rPr>
              <w:t>Mary Ann Tocio</w:t>
            </w:r>
            <w:r>
              <w:rPr>
                <w:rFonts w:ascii="Arial" w:cs="Arial" w:eastAsia="Arial" w:hAnsi="Arial"/>
                <w:sz w:val="18"/>
                <w:szCs w:val="18"/>
                <w:color w:val="1A475F"/>
                <w:vertAlign w:val="superscript"/>
              </w:rPr>
              <w:t>(17)</w:t>
            </w:r>
          </w:p>
        </w:tc>
        <w:tc>
          <w:tcPr>
            <w:tcW w:w="200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1A475F"/>
              </w:rPr>
              <w:t>18,233</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left="450"/>
              <w:spacing w:after="0"/>
              <w:rPr>
                <w:sz w:val="20"/>
                <w:szCs w:val="20"/>
                <w:color w:val="auto"/>
              </w:rPr>
            </w:pPr>
            <w:r>
              <w:rPr>
                <w:rFonts w:ascii="Arial" w:cs="Arial" w:eastAsia="Arial" w:hAnsi="Arial"/>
                <w:sz w:val="14"/>
                <w:szCs w:val="14"/>
                <w:color w:val="1A475F"/>
              </w:rPr>
              <w:t xml:space="preserve">* </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1A475F"/>
              </w:rPr>
              <w:t> </w:t>
            </w:r>
          </w:p>
        </w:tc>
        <w:tc>
          <w:tcPr>
            <w:tcW w:w="0" w:type="dxa"/>
            <w:vAlign w:val="bottom"/>
          </w:tcPr>
          <w:p>
            <w:pPr>
              <w:spacing w:after="0"/>
              <w:rPr>
                <w:sz w:val="1"/>
                <w:szCs w:val="1"/>
                <w:color w:val="auto"/>
              </w:rPr>
            </w:pPr>
          </w:p>
        </w:tc>
      </w:tr>
      <w:tr>
        <w:trPr>
          <w:trHeight w:val="312"/>
        </w:trPr>
        <w:tc>
          <w:tcPr>
            <w:tcW w:w="5720" w:type="dxa"/>
            <w:vAlign w:val="bottom"/>
            <w:gridSpan w:val="3"/>
          </w:tcPr>
          <w:p>
            <w:pPr>
              <w:spacing w:after="0"/>
              <w:rPr>
                <w:sz w:val="20"/>
                <w:szCs w:val="20"/>
                <w:color w:val="auto"/>
              </w:rPr>
            </w:pPr>
            <w:r>
              <w:rPr>
                <w:rFonts w:ascii="Arial" w:cs="Arial" w:eastAsia="Arial" w:hAnsi="Arial"/>
                <w:sz w:val="14"/>
                <w:szCs w:val="14"/>
                <w:color w:val="1A475F"/>
              </w:rPr>
              <w:t>All Directors, Nominees and Executive Officers as a Group (14 persons)</w:t>
            </w:r>
            <w:r>
              <w:rPr>
                <w:rFonts w:ascii="Arial" w:cs="Arial" w:eastAsia="Arial" w:hAnsi="Arial"/>
                <w:sz w:val="20"/>
                <w:szCs w:val="20"/>
                <w:color w:val="1A475F"/>
                <w:vertAlign w:val="superscript"/>
              </w:rPr>
              <w:t>(18)</w:t>
            </w:r>
          </w:p>
        </w:tc>
        <w:tc>
          <w:tcPr>
            <w:tcW w:w="2000" w:type="dxa"/>
            <w:vAlign w:val="bottom"/>
          </w:tcPr>
          <w:p>
            <w:pPr>
              <w:jc w:val="right"/>
              <w:ind w:right="590"/>
              <w:spacing w:after="0"/>
              <w:rPr>
                <w:sz w:val="20"/>
                <w:szCs w:val="20"/>
                <w:color w:val="auto"/>
              </w:rPr>
            </w:pPr>
            <w:r>
              <w:rPr>
                <w:rFonts w:ascii="Arial" w:cs="Arial" w:eastAsia="Arial" w:hAnsi="Arial"/>
                <w:sz w:val="14"/>
                <w:szCs w:val="14"/>
                <w:color w:val="1A475F"/>
              </w:rPr>
              <w:t>754,354</w:t>
            </w:r>
          </w:p>
        </w:tc>
        <w:tc>
          <w:tcPr>
            <w:tcW w:w="50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1A475F"/>
              </w:rPr>
              <w:t>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7620</wp:posOffset>
            </wp:positionV>
            <wp:extent cx="65405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30" w:lineRule="exact"/>
        <w:rPr>
          <w:sz w:val="20"/>
          <w:szCs w:val="20"/>
          <w:color w:val="auto"/>
        </w:rPr>
      </w:pPr>
    </w:p>
    <w:p>
      <w:pPr>
        <w:ind w:left="1280" w:hanging="379"/>
        <w:spacing w:after="0"/>
        <w:tabs>
          <w:tab w:leader="none" w:pos="1280" w:val="left"/>
        </w:tabs>
        <w:numPr>
          <w:ilvl w:val="0"/>
          <w:numId w:val="34"/>
        </w:numPr>
        <w:rPr>
          <w:rFonts w:ascii="Arial" w:cs="Arial" w:eastAsia="Arial" w:hAnsi="Arial"/>
          <w:sz w:val="12"/>
          <w:szCs w:val="12"/>
          <w:color w:val="1A475F"/>
        </w:rPr>
      </w:pPr>
      <w:r>
        <w:rPr>
          <w:rFonts w:ascii="Arial" w:cs="Arial" w:eastAsia="Arial" w:hAnsi="Arial"/>
          <w:sz w:val="12"/>
          <w:szCs w:val="12"/>
          <w:color w:val="1A475F"/>
        </w:rPr>
        <w:t>Indicates less than 1%.</w:t>
      </w:r>
    </w:p>
    <w:p>
      <w:pPr>
        <w:spacing w:after="0" w:line="13" w:lineRule="exact"/>
        <w:rPr>
          <w:sz w:val="20"/>
          <w:szCs w:val="20"/>
          <w:color w:val="auto"/>
        </w:rPr>
      </w:pPr>
    </w:p>
    <w:p>
      <w:pPr>
        <w:ind w:left="1280" w:right="20" w:hanging="379"/>
        <w:spacing w:after="0" w:line="245" w:lineRule="auto"/>
        <w:tabs>
          <w:tab w:leader="none" w:pos="1280" w:val="left"/>
        </w:tabs>
        <w:numPr>
          <w:ilvl w:val="0"/>
          <w:numId w:val="35"/>
        </w:numPr>
        <w:rPr>
          <w:rFonts w:ascii="Arial" w:cs="Arial" w:eastAsia="Arial" w:hAnsi="Arial"/>
          <w:sz w:val="12"/>
          <w:szCs w:val="12"/>
          <w:color w:val="1A475F"/>
        </w:rPr>
      </w:pPr>
      <w:r>
        <w:rPr>
          <w:rFonts w:ascii="Arial" w:cs="Arial" w:eastAsia="Arial" w:hAnsi="Arial"/>
          <w:sz w:val="12"/>
          <w:szCs w:val="12"/>
          <w:color w:val="1A475F"/>
        </w:rPr>
        <w:t>The information regarding Durable Capital Partners LP (“Durable”) is based solely on information included in Amendment No. 2 to Schedule 13G/A filed by Durable with the SEC on November 14, 2024, which we have relied upon for purposes of calculating the percentage of beneficial ownership in the above table. Durable reported that as of September 30, 2024 it had sole voting power with respect to 4,303,241 shares of common stock, shared voting power with respect to 0 shares of common stock, sole dispositive power with respect to 4,303,241 shares of common stock, and shared dispositive power with respect to 0 shares of common stock. We note that a Schedule 13F filed by Durable with the SEC on February 17, 2026 reported that as of December 31, 2025 Durable held 0 shares of common stock. The principal business address of Durable is 4747 Bethesda Avenue, Suite 1002, Bethesda, MD 20814.</w:t>
      </w:r>
    </w:p>
    <w:p>
      <w:pPr>
        <w:spacing w:after="0" w:line="95" w:lineRule="exact"/>
        <w:rPr>
          <w:sz w:val="20"/>
          <w:szCs w:val="20"/>
          <w:color w:val="auto"/>
        </w:rPr>
      </w:pPr>
    </w:p>
    <w:p>
      <w:pPr>
        <w:ind w:left="8040"/>
        <w:spacing w:after="0"/>
        <w:tabs>
          <w:tab w:leader="none" w:pos="9880" w:val="left"/>
          <w:tab w:leader="none" w:pos="101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29</w:t>
      </w:r>
    </w:p>
    <w:p>
      <w:pPr>
        <w:sectPr>
          <w:pgSz w:w="11900" w:h="16838" w:orient="portrait"/>
          <w:cols w:equalWidth="0" w:num="1">
            <w:col w:w="10360"/>
          </w:cols>
          <w:pgMar w:left="320" w:top="433" w:right="12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90" w:lineRule="exact"/>
        <w:rPr>
          <w:sz w:val="20"/>
          <w:szCs w:val="20"/>
          <w:color w:val="auto"/>
        </w:rPr>
      </w:pPr>
    </w:p>
    <w:p>
      <w:pPr>
        <w:ind w:left="1280" w:right="160" w:hanging="379"/>
        <w:spacing w:after="0" w:line="245" w:lineRule="auto"/>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The information regarding Goldman Sachs Asset Management, L.P. (“Goldman”) is based solely on information included in the Schedule 13G filed by Goldman with the SEC on February 12, 2026, which we have relied upon for purposes of calculating the percentage of beneficial ownership in the above table. Goldman reported that as of December 31, 2025 it had sole voting power with respect to 0 shares of common stock, shared voting power with respect to 2,731,420 shares of common stock, sole dispositive power with respect to 0 shares of common stock, and shared dispositive power with respect to 2,982,913 shares of common stock. The principal business address of Goldman is 200 West Street, New York, NY 10282.</w:t>
      </w:r>
    </w:p>
    <w:p>
      <w:pPr>
        <w:spacing w:after="0" w:line="2" w:lineRule="exact"/>
        <w:rPr>
          <w:rFonts w:ascii="Arial" w:cs="Arial" w:eastAsia="Arial" w:hAnsi="Arial"/>
          <w:sz w:val="12"/>
          <w:szCs w:val="12"/>
          <w:color w:val="1A475F"/>
        </w:rPr>
      </w:pPr>
    </w:p>
    <w:p>
      <w:pPr>
        <w:ind w:left="1280" w:hanging="379"/>
        <w:spacing w:after="0" w:line="241" w:lineRule="auto"/>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The information regarding the Brown Advisory Entities (as defined below) is based solely on information included in Amendment No. 1 to Schedule 13G filed with the SEC on behalf of the Brown Advisory Entities on February 9, 2024, which we have relied upon for purposes of calculating the percentage of beneficial ownership in the above table. Such Amendment No. 1 to Scheduled 13G reported that, as of December 31, 2023, Brown Advisory Incorporated (“BAI”) had sole voting power with respect to 2,473,719 shares of common stock, shared voting power with respect to 0 shares of common stock, sole dispositive power with respect to 0 shares of common stock, and shared dispositive power with respect to 2,923,302 shares of common stock; Brown Investment Advisory &amp; Trust Company (“BIATC”) had sole voting power with respect to 42,517 shares of common stock, shared voting power with respect to 0 shares of common stock, sole dispositive power with respect to 0 shares of common stock, and shared dispositive power with respect to 45,512 shares of common stock; and Brown Advisory LLC (“BALLC” and collectively with BAI and BIATC, the “Brown Advisory Entities”) reported that it had sole voting power with respect to 2,431,202 shares of common stock, shared voting power with respect to 0 shares of common stock, sole dispositive power with respect to 0 shares of common stock, and shared dispositive power with respect to 2,877,790 shares of common stock. BIATC and BALLC are subsidiaries of BAI and BAI is a parent holding company. We note that a Schedule 13F filed by the Brown Advisory Entities with the SEC on February 13, 2026 reported that as of December 31, 2025 the Brown Advisory Entities had sole voting power with respect to 1,003,694 shares of common stock, shared voting power with respect to 0 shares of common stock, sole dispositive power with respect to 0 shares of common stock, and shared dispositive power with respect to 1,003,694 shares of common stock. The principal business address of the Brown Advisory Entities is 901 South Bond Street, Suite #400, Baltimore, MD 21231.</w:t>
      </w:r>
    </w:p>
    <w:p>
      <w:pPr>
        <w:spacing w:after="0" w:line="143" w:lineRule="exact"/>
        <w:rPr>
          <w:rFonts w:ascii="Arial" w:cs="Arial" w:eastAsia="Arial" w:hAnsi="Arial"/>
          <w:sz w:val="12"/>
          <w:szCs w:val="12"/>
          <w:color w:val="1A475F"/>
        </w:rPr>
      </w:pPr>
    </w:p>
    <w:p>
      <w:pPr>
        <w:ind w:left="1280" w:right="140" w:hanging="379"/>
        <w:spacing w:after="0" w:line="241" w:lineRule="auto"/>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The information regarding Kayne Anderson Rudnick Investment Management, LLC (“Kayne”) is based solely on information included in the Schedule 13G/A filed by Kayne with the SEC on February 13, 2026, which we have relied upon for purposes of calculating the percentage of beneficial ownership in the above table. Kayne reported that as of December 31, 2025 it had sole voting power with respect to 2,276,166 shares of common stock, shared voting power with respect to 452,027 shares of common stock, sole dispositive power with respect to 2,293,768 shares of common stock, and shared dispositive power with respect to 452,027 shares of common stock. The principal business address of Kayne is 2000 Avenue of the Stars, Suite 1110, Los Angeles, CA 90067.</w:t>
      </w:r>
    </w:p>
    <w:p>
      <w:pPr>
        <w:spacing w:after="0" w:line="1" w:lineRule="exact"/>
        <w:rPr>
          <w:rFonts w:ascii="Arial" w:cs="Arial" w:eastAsia="Arial" w:hAnsi="Arial"/>
          <w:sz w:val="12"/>
          <w:szCs w:val="12"/>
          <w:color w:val="1A475F"/>
        </w:rPr>
      </w:pPr>
    </w:p>
    <w:p>
      <w:pPr>
        <w:jc w:val="both"/>
        <w:ind w:left="1280" w:right="20" w:hanging="379"/>
        <w:spacing w:after="0" w:line="241" w:lineRule="auto"/>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3,000 shares of common stock held by Ms. Burke Afonso’s immediate and other family members, 45,641 shares of common stock that can be acquired upon the exercise of outstanding stock options. Does not include 4,756 shares underlying time-based restricted stock units (“RSUs”) that are subject to vesting on March 4, 2027, 4,224 shares underlying RSUs that are subject to vesting on March 5, 2028 and 7,260 shares underlying RSUs that are subject to vesting on March 4, 2029.</w:t>
      </w:r>
    </w:p>
    <w:p>
      <w:pPr>
        <w:spacing w:after="0" w:line="1" w:lineRule="exact"/>
        <w:rPr>
          <w:rFonts w:ascii="Arial" w:cs="Arial" w:eastAsia="Arial" w:hAnsi="Arial"/>
          <w:sz w:val="12"/>
          <w:szCs w:val="12"/>
          <w:color w:val="1A475F"/>
        </w:rPr>
      </w:pPr>
    </w:p>
    <w:p>
      <w:pPr>
        <w:ind w:left="1280" w:right="40"/>
        <w:spacing w:after="0" w:line="241" w:lineRule="auto"/>
        <w:rPr>
          <w:rFonts w:ascii="Arial" w:cs="Arial" w:eastAsia="Arial" w:hAnsi="Arial"/>
          <w:sz w:val="12"/>
          <w:szCs w:val="12"/>
          <w:color w:val="1A475F"/>
        </w:rPr>
      </w:pPr>
      <w:r>
        <w:rPr>
          <w:rFonts w:ascii="Arial" w:cs="Arial" w:eastAsia="Arial" w:hAnsi="Arial"/>
          <w:sz w:val="12"/>
          <w:szCs w:val="12"/>
          <w:color w:val="1A475F"/>
        </w:rPr>
        <w:t>Does not include 2,378 shares underlying performance-based RSUs (“PRSUs”) that are subject to vesting on March 4, 2027, 2,112 shares underlying PRSUs that are subject to vesting on March 5, 2028, and 7,260 shares underlying PRSUs that are subject to vesting on Mach 4, 2029, to the extent that the performance measures are achieved, as applicable.</w:t>
      </w:r>
    </w:p>
    <w:p>
      <w:pPr>
        <w:spacing w:after="0" w:line="1" w:lineRule="exact"/>
        <w:rPr>
          <w:rFonts w:ascii="Arial" w:cs="Arial" w:eastAsia="Arial" w:hAnsi="Arial"/>
          <w:sz w:val="12"/>
          <w:szCs w:val="12"/>
          <w:color w:val="1A475F"/>
        </w:rPr>
      </w:pPr>
    </w:p>
    <w:p>
      <w:pPr>
        <w:ind w:left="1280" w:hanging="379"/>
        <w:spacing w:after="0"/>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4,935 shares that can be acquired upon the settlement of vested Director RSUs.</w:t>
      </w:r>
    </w:p>
    <w:p>
      <w:pPr>
        <w:ind w:left="1280" w:hanging="379"/>
        <w:spacing w:after="0"/>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4,935 shares that can be acquired upon the settlement of vested Director RSUs.</w:t>
      </w:r>
    </w:p>
    <w:p>
      <w:pPr>
        <w:ind w:left="1280" w:hanging="379"/>
        <w:spacing w:after="0"/>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4,935 shares that can be acquired upon the settlement of vested Director RSUs.</w:t>
      </w:r>
    </w:p>
    <w:p>
      <w:pPr>
        <w:ind w:left="1280" w:right="120" w:hanging="379"/>
        <w:spacing w:after="0" w:line="241" w:lineRule="auto"/>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13,301 shares of common stock that can be acquired upon the exercise of outstanding stock options. Does not include 4,756 shares underlying RSUs that are subject to vesting on March 4, 2027, 6,600 shares underlying RSUs that are subject to vesting on March 4, 2028, 4,224 shares underlying RSUs that are subject to vesting on March 5, 2028, and 7,260 shares underlying RSUs that are subject to vesting on March 4, 2029. Does not include 2,378 shares underlying PRSUs that are subject to vesting on March 4, 2027, 2,112 shares underlying PRSUs that are subject to vesting on March 5, 2028, and 7,260 shares underlying PRSUs that are subject to vesting on March 4, 2029 to the extent that the performance measures are achieved, as applicable.</w:t>
      </w:r>
    </w:p>
    <w:p>
      <w:pPr>
        <w:spacing w:after="0" w:line="1" w:lineRule="exact"/>
        <w:rPr>
          <w:rFonts w:ascii="Arial" w:cs="Arial" w:eastAsia="Arial" w:hAnsi="Arial"/>
          <w:sz w:val="12"/>
          <w:szCs w:val="12"/>
          <w:color w:val="1A475F"/>
        </w:rPr>
      </w:pPr>
    </w:p>
    <w:p>
      <w:pPr>
        <w:ind w:left="1280" w:right="100" w:hanging="379"/>
        <w:spacing w:after="0" w:line="241" w:lineRule="auto"/>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22,329 shares of common stock that can be acquired upon the exercise of outstanding stock options. Does not include 4,756 shares underlying RSUs that are subject to vesting on March 4, 2027, 4,224 shares underlying RSUs that are subject to vesting on March 5, 2028, and 9,900 shares underlying RSUs that are subject to vesting on March 4, 2029. Does not include 2,378 shares underlying PRSUs that are subject to vesting on March 4, 2027, 2,112 shares underlying PRSUs that are subject to vesting on March 5, 2028, and 9,900 shares underlying PRSUs that are subject to vesting on March 4, 2029 to the extent that the performance measures are achieved, as applicable.</w:t>
      </w:r>
    </w:p>
    <w:p>
      <w:pPr>
        <w:spacing w:after="0" w:line="1" w:lineRule="exact"/>
        <w:rPr>
          <w:rFonts w:ascii="Arial" w:cs="Arial" w:eastAsia="Arial" w:hAnsi="Arial"/>
          <w:sz w:val="12"/>
          <w:szCs w:val="12"/>
          <w:color w:val="1A475F"/>
        </w:rPr>
      </w:pPr>
    </w:p>
    <w:p>
      <w:pPr>
        <w:ind w:left="1280" w:hanging="379"/>
        <w:spacing w:after="0"/>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4,935 shares that can be acquired upon the settlement of vested Director RSUs.</w:t>
      </w:r>
    </w:p>
    <w:p>
      <w:pPr>
        <w:ind w:left="1280" w:right="80" w:hanging="379"/>
        <w:spacing w:after="0" w:line="241" w:lineRule="auto"/>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61,326 shares of common stock that can be acquired upon the exercise of outstanding stock options. Does not include 15,132 shares underlying RSUs that are subject to vesting on March 4, 2027, 13,440 shares underlying RSUs that are subject to vesting on March 5, 2028, and 32,999 shares underlying RSUs that are subject to vesting on March 4, 2029. Does not include 7,566 shares underlying PRSUs that are subject to vesting on March 4, 2027, 6,720 shares underlying PRSUs that are subject to vesting on March 5, 2028, and 32,999 shares underlying PRSUs that are subject to vesting on March 4, 2029, to the extent that the performance measures are achieved, as applicable.</w:t>
      </w:r>
    </w:p>
    <w:p>
      <w:pPr>
        <w:spacing w:after="0" w:line="1" w:lineRule="exact"/>
        <w:rPr>
          <w:rFonts w:ascii="Arial" w:cs="Arial" w:eastAsia="Arial" w:hAnsi="Arial"/>
          <w:sz w:val="12"/>
          <w:szCs w:val="12"/>
          <w:color w:val="1A475F"/>
        </w:rPr>
      </w:pPr>
    </w:p>
    <w:p>
      <w:pPr>
        <w:ind w:left="1280" w:right="280" w:hanging="379"/>
        <w:spacing w:after="0" w:line="241" w:lineRule="auto"/>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6,914 shares of common stock that can be acquired upon settlement of Director RSUs, 122,948 shares of common stock held by Irrevocable Trusts for Mr. Lissy’s immediate family members, 57,874 shares of common stock held by the David H. Lissy 2013 Trust, 21,987 shares of common stock held by the David Lissy 2024 BFAM GRAT Trust and 19,547 shares of common stock held by the Lissy Family Foundation of which Mr. Lissy may be deemed a beneficial owner.</w:t>
      </w:r>
    </w:p>
    <w:p>
      <w:pPr>
        <w:spacing w:after="0" w:line="1" w:lineRule="exact"/>
        <w:rPr>
          <w:rFonts w:ascii="Arial" w:cs="Arial" w:eastAsia="Arial" w:hAnsi="Arial"/>
          <w:sz w:val="12"/>
          <w:szCs w:val="12"/>
          <w:color w:val="1A475F"/>
        </w:rPr>
      </w:pPr>
    </w:p>
    <w:p>
      <w:pPr>
        <w:ind w:left="1280" w:right="80" w:hanging="379"/>
        <w:spacing w:after="0" w:line="241" w:lineRule="auto"/>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50,170 shares of common stock that can be acquired upon the exercise of outstanding stock options. Does not include 3,243 shares underlying RSUs that are subject to vesting on March 4, 2027, 2,880 shares underlying RSUs that are subject to vesting on March 5, 2028, and 4,950 shares underlying RSUs that are subject to vesting on March 4, 2029. Does not include 1,621 shares underlying PRSUs that are subject to vesting on March 4, 2027, 1,440 shares underlying PRSUs that are subject to vesting on March 5, 2028, and 4,950 shares underlying PRSUs that are subject to vesting on March 4, 2029, to the extent that the performance measures are achieved, as applicable.</w:t>
      </w:r>
    </w:p>
    <w:p>
      <w:pPr>
        <w:spacing w:after="0" w:line="1" w:lineRule="exact"/>
        <w:rPr>
          <w:rFonts w:ascii="Arial" w:cs="Arial" w:eastAsia="Arial" w:hAnsi="Arial"/>
          <w:sz w:val="12"/>
          <w:szCs w:val="12"/>
          <w:color w:val="1A475F"/>
        </w:rPr>
      </w:pPr>
    </w:p>
    <w:p>
      <w:pPr>
        <w:ind w:left="1280" w:hanging="379"/>
        <w:spacing w:after="0"/>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4,935 shares that can be acquired upon the settlement of vested Director RSUs.</w:t>
      </w:r>
    </w:p>
    <w:p>
      <w:pPr>
        <w:ind w:left="1280" w:hanging="379"/>
        <w:spacing w:after="0"/>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1,518 shares that can be acquired upon the settlement of vested Director RSUs.</w:t>
      </w:r>
    </w:p>
    <w:p>
      <w:pPr>
        <w:ind w:left="1280" w:hanging="379"/>
        <w:spacing w:after="0"/>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4,935 shares that can be acquired upon the settlement of vested Director RSUs.</w:t>
      </w:r>
    </w:p>
    <w:p>
      <w:pPr>
        <w:ind w:left="1280" w:right="60" w:hanging="379"/>
        <w:spacing w:after="0" w:line="245" w:lineRule="auto"/>
        <w:tabs>
          <w:tab w:leader="none" w:pos="1280" w:val="left"/>
        </w:tabs>
        <w:numPr>
          <w:ilvl w:val="0"/>
          <w:numId w:val="36"/>
        </w:numPr>
        <w:rPr>
          <w:rFonts w:ascii="Arial" w:cs="Arial" w:eastAsia="Arial" w:hAnsi="Arial"/>
          <w:sz w:val="12"/>
          <w:szCs w:val="12"/>
          <w:color w:val="1A475F"/>
        </w:rPr>
      </w:pPr>
      <w:r>
        <w:rPr>
          <w:rFonts w:ascii="Arial" w:cs="Arial" w:eastAsia="Arial" w:hAnsi="Arial"/>
          <w:sz w:val="12"/>
          <w:szCs w:val="12"/>
          <w:color w:val="1A475F"/>
        </w:rPr>
        <w:t>Includes 227,038 shares of common stock that can be acquired upon the exercise of outstanding stock options and 38,042 shares of common stock that can be acquired upon settlement of vested Director RSUs. Does not include 35,237 shares underlying RSUs that are subject to vesting on March 4, 2027, 6,600 shares underlying RSUs that are subject to vesting on March 4, 2028, 31,296 shares underlying RSUs that are subject to vesting on March 5, 2028, and 67,319 shares underlying RSUs that are subject to vesting on March 4, 2029. Does not include 17,618 shares underlying PRSUs that are subject to vesting on March 4, 2027, 15,648 PRSUs that are subject to vesting on March 5, 2028, and 67,319 shares underlying PRSUs that are subject to vesting on March 4, 2029, to the extent that the performance measures are achieved, as applicable.</w:t>
      </w:r>
    </w:p>
    <w:p>
      <w:pPr>
        <w:spacing w:after="0" w:line="95"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30</w:t>
        <w:tab/>
        <w:t>|    Bright Horizons </w:t>
      </w:r>
    </w:p>
    <w:p>
      <w:pPr>
        <w:sectPr>
          <w:pgSz w:w="11900" w:h="16838" w:orient="portrait"/>
          <w:cols w:equalWidth="0" w:num="1">
            <w:col w:w="10340"/>
          </w:cols>
          <w:pgMar w:left="320" w:top="433" w:right="1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4160"/>
        <w:spacing w:after="0"/>
        <w:rPr>
          <w:sz w:val="20"/>
          <w:szCs w:val="20"/>
          <w:color w:val="auto"/>
        </w:rPr>
      </w:pPr>
      <w:r>
        <w:rPr>
          <w:rFonts w:ascii="Arial" w:cs="Arial" w:eastAsia="Arial" w:hAnsi="Arial"/>
          <w:sz w:val="15"/>
          <w:szCs w:val="15"/>
          <w:b w:val="1"/>
          <w:bCs w:val="1"/>
          <w:color w:val="1A475F"/>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97575" cy="146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00" w:right="20" w:firstLine="756"/>
        <w:spacing w:after="0" w:line="247" w:lineRule="auto"/>
        <w:rPr>
          <w:sz w:val="20"/>
          <w:szCs w:val="20"/>
          <w:color w:val="auto"/>
        </w:rPr>
      </w:pPr>
      <w:r>
        <w:rPr>
          <w:rFonts w:ascii="Arial" w:cs="Arial" w:eastAsia="Arial" w:hAnsi="Arial"/>
          <w:sz w:val="15"/>
          <w:szCs w:val="15"/>
          <w:color w:val="1A475F"/>
        </w:rPr>
        <w:t>Section 16(a) of the Exchange Act requires our directors, executive officers and holders of more than 10% of our common stock to file reports of holdings and transactions in our common stock and reports of changes in beneficial ownership with the SEC. Specific due dates for these reports have been established and we are required to report any failure to file by such dates during fiscal year 2025. To our knowledge, based on our review of filings made with the SEC and representations made by our directors and executive officers, we believe that all of our directors and executive officers filed on a timely basis all reports under Section 16(a), with the exception of one Form 4 filing for Jason Janoff, Chief Accounting Officer, with respect to the number of shares withheld to satisfy tax obligations arising upon the vesting of restricted stock units on February 25, 2025, which inadvertently resulted in under-reporting the number of shares owned and was subsequently corrected in an amended Form 4 filed on March 7, 2025.</w:t>
      </w:r>
    </w:p>
    <w:p>
      <w:pPr>
        <w:spacing w:after="0" w:line="94"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31</w:t>
      </w:r>
    </w:p>
    <w:p>
      <w:pPr>
        <w:sectPr>
          <w:pgSz w:w="11900" w:h="16838" w:orient="portrait"/>
          <w:cols w:equalWidth="0" w:num="1">
            <w:col w:w="10340"/>
          </w:cols>
          <w:pgMar w:left="320" w:top="433" w:right="1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1A475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97575" cy="146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334645</wp:posOffset>
            </wp:positionV>
            <wp:extent cx="5997575" cy="183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Compensation Discussion and Analysis</w:t>
      </w:r>
    </w:p>
    <w:p>
      <w:pPr>
        <w:spacing w:after="0" w:line="154" w:lineRule="exact"/>
        <w:rPr>
          <w:sz w:val="20"/>
          <w:szCs w:val="20"/>
          <w:color w:val="auto"/>
        </w:rPr>
      </w:pPr>
    </w:p>
    <w:p>
      <w:pPr>
        <w:ind w:left="900" w:right="480" w:firstLine="756"/>
        <w:spacing w:after="0" w:line="282" w:lineRule="auto"/>
        <w:rPr>
          <w:sz w:val="20"/>
          <w:szCs w:val="20"/>
          <w:color w:val="auto"/>
        </w:rPr>
      </w:pPr>
      <w:r>
        <w:rPr>
          <w:rFonts w:ascii="Arial" w:cs="Arial" w:eastAsia="Arial" w:hAnsi="Arial"/>
          <w:sz w:val="15"/>
          <w:szCs w:val="15"/>
          <w:color w:val="1A475F"/>
        </w:rPr>
        <w:t>This discussion describes our compensation philosophy, principles and practices with respect to the compensation of the executive officers listed below (referred to as our “named executive officers” or “NEOs”) for 2025:</w:t>
      </w:r>
    </w:p>
    <w:p>
      <w:pPr>
        <w:spacing w:after="0" w:line="164" w:lineRule="exact"/>
        <w:rPr>
          <w:sz w:val="20"/>
          <w:szCs w:val="20"/>
          <w:color w:val="auto"/>
        </w:rPr>
      </w:pPr>
    </w:p>
    <w:tbl>
      <w:tblPr>
        <w:tblLayout w:type="fixed"/>
        <w:tblInd w:w="1280" w:type="dxa"/>
        <w:tblCellMar>
          <w:top w:w="0" w:type="dxa"/>
          <w:left w:w="0" w:type="dxa"/>
          <w:bottom w:w="0" w:type="dxa"/>
          <w:right w:w="0" w:type="dxa"/>
        </w:tblCellMar>
      </w:tblPr>
      <w:tr>
        <w:trPr>
          <w:trHeight w:val="174"/>
        </w:trPr>
        <w:tc>
          <w:tcPr>
            <w:tcW w:w="2120" w:type="dxa"/>
            <w:vAlign w:val="bottom"/>
            <w:shd w:val="clear" w:color="auto" w:fill="CCEEFF"/>
          </w:tcPr>
          <w:p>
            <w:pPr>
              <w:spacing w:after="0"/>
              <w:rPr>
                <w:sz w:val="20"/>
                <w:szCs w:val="20"/>
                <w:color w:val="auto"/>
              </w:rPr>
            </w:pPr>
            <w:r>
              <w:rPr>
                <w:rFonts w:ascii="Arial" w:cs="Arial" w:eastAsia="Arial" w:hAnsi="Arial"/>
                <w:sz w:val="15"/>
                <w:szCs w:val="15"/>
                <w:color w:val="1A475F"/>
              </w:rPr>
              <w:t>Stephen H. Kramer</w:t>
            </w:r>
          </w:p>
        </w:tc>
        <w:tc>
          <w:tcPr>
            <w:tcW w:w="6960" w:type="dxa"/>
            <w:vAlign w:val="bottom"/>
            <w:shd w:val="clear" w:color="auto" w:fill="CCEEFF"/>
          </w:tcPr>
          <w:p>
            <w:pPr>
              <w:ind w:left="520"/>
              <w:spacing w:after="0"/>
              <w:rPr>
                <w:sz w:val="20"/>
                <w:szCs w:val="20"/>
                <w:color w:val="auto"/>
              </w:rPr>
            </w:pPr>
            <w:r>
              <w:rPr>
                <w:rFonts w:ascii="Arial" w:cs="Arial" w:eastAsia="Arial" w:hAnsi="Arial"/>
                <w:sz w:val="15"/>
                <w:szCs w:val="15"/>
                <w:color w:val="1A475F"/>
              </w:rPr>
              <w:t>Chief Executive Officer and President</w:t>
            </w:r>
          </w:p>
        </w:tc>
      </w:tr>
      <w:tr>
        <w:trPr>
          <w:trHeight w:val="174"/>
        </w:trPr>
        <w:tc>
          <w:tcPr>
            <w:tcW w:w="2120" w:type="dxa"/>
            <w:vAlign w:val="bottom"/>
          </w:tcPr>
          <w:p>
            <w:pPr>
              <w:spacing w:after="0"/>
              <w:rPr>
                <w:sz w:val="20"/>
                <w:szCs w:val="20"/>
                <w:color w:val="auto"/>
              </w:rPr>
            </w:pPr>
            <w:r>
              <w:rPr>
                <w:rFonts w:ascii="Arial" w:cs="Arial" w:eastAsia="Arial" w:hAnsi="Arial"/>
                <w:sz w:val="15"/>
                <w:szCs w:val="15"/>
                <w:color w:val="1A475F"/>
              </w:rPr>
              <w:t>Elizabeth J. Boland</w:t>
            </w:r>
          </w:p>
        </w:tc>
        <w:tc>
          <w:tcPr>
            <w:tcW w:w="6960" w:type="dxa"/>
            <w:vAlign w:val="bottom"/>
          </w:tcPr>
          <w:p>
            <w:pPr>
              <w:ind w:left="520"/>
              <w:spacing w:after="0"/>
              <w:rPr>
                <w:sz w:val="20"/>
                <w:szCs w:val="20"/>
                <w:color w:val="auto"/>
              </w:rPr>
            </w:pPr>
            <w:r>
              <w:rPr>
                <w:rFonts w:ascii="Arial" w:cs="Arial" w:eastAsia="Arial" w:hAnsi="Arial"/>
                <w:sz w:val="15"/>
                <w:szCs w:val="15"/>
                <w:color w:val="1A475F"/>
              </w:rPr>
              <w:t>Chief Financial Officer</w:t>
            </w:r>
          </w:p>
        </w:tc>
      </w:tr>
      <w:tr>
        <w:trPr>
          <w:trHeight w:val="174"/>
        </w:trPr>
        <w:tc>
          <w:tcPr>
            <w:tcW w:w="2120" w:type="dxa"/>
            <w:vAlign w:val="bottom"/>
            <w:shd w:val="clear" w:color="auto" w:fill="CCEEFF"/>
          </w:tcPr>
          <w:p>
            <w:pPr>
              <w:spacing w:after="0"/>
              <w:rPr>
                <w:sz w:val="20"/>
                <w:szCs w:val="20"/>
                <w:color w:val="auto"/>
              </w:rPr>
            </w:pPr>
            <w:r>
              <w:rPr>
                <w:rFonts w:ascii="Arial" w:cs="Arial" w:eastAsia="Arial" w:hAnsi="Arial"/>
                <w:sz w:val="15"/>
                <w:szCs w:val="15"/>
                <w:color w:val="1A475F"/>
              </w:rPr>
              <w:t>Mary Lou Burke Afonso</w:t>
            </w:r>
          </w:p>
        </w:tc>
        <w:tc>
          <w:tcPr>
            <w:tcW w:w="6960" w:type="dxa"/>
            <w:vAlign w:val="bottom"/>
            <w:shd w:val="clear" w:color="auto" w:fill="CCEEFF"/>
          </w:tcPr>
          <w:p>
            <w:pPr>
              <w:ind w:left="520"/>
              <w:spacing w:after="0"/>
              <w:rPr>
                <w:sz w:val="20"/>
                <w:szCs w:val="20"/>
                <w:color w:val="auto"/>
              </w:rPr>
            </w:pPr>
            <w:r>
              <w:rPr>
                <w:rFonts w:ascii="Arial" w:cs="Arial" w:eastAsia="Arial" w:hAnsi="Arial"/>
                <w:sz w:val="15"/>
                <w:szCs w:val="15"/>
                <w:color w:val="1A475F"/>
              </w:rPr>
              <w:t>Chief Operating Officer, North America Center Operations</w:t>
            </w:r>
          </w:p>
        </w:tc>
      </w:tr>
      <w:tr>
        <w:trPr>
          <w:trHeight w:val="174"/>
        </w:trPr>
        <w:tc>
          <w:tcPr>
            <w:tcW w:w="2120" w:type="dxa"/>
            <w:vAlign w:val="bottom"/>
          </w:tcPr>
          <w:p>
            <w:pPr>
              <w:spacing w:after="0"/>
              <w:rPr>
                <w:sz w:val="20"/>
                <w:szCs w:val="20"/>
                <w:color w:val="auto"/>
              </w:rPr>
            </w:pPr>
            <w:r>
              <w:rPr>
                <w:rFonts w:ascii="Arial" w:cs="Arial" w:eastAsia="Arial" w:hAnsi="Arial"/>
                <w:sz w:val="15"/>
                <w:szCs w:val="15"/>
                <w:color w:val="1A475F"/>
              </w:rPr>
              <w:t>Mandy Berman</w:t>
            </w:r>
          </w:p>
        </w:tc>
        <w:tc>
          <w:tcPr>
            <w:tcW w:w="6960" w:type="dxa"/>
            <w:vAlign w:val="bottom"/>
          </w:tcPr>
          <w:p>
            <w:pPr>
              <w:ind w:left="520"/>
              <w:spacing w:after="0"/>
              <w:rPr>
                <w:sz w:val="20"/>
                <w:szCs w:val="20"/>
                <w:color w:val="auto"/>
              </w:rPr>
            </w:pPr>
            <w:r>
              <w:rPr>
                <w:rFonts w:ascii="Arial" w:cs="Arial" w:eastAsia="Arial" w:hAnsi="Arial"/>
                <w:sz w:val="15"/>
                <w:szCs w:val="15"/>
                <w:color w:val="1A475F"/>
              </w:rPr>
              <w:t>Chief Operating Officer, Back-up Care and Educational Advisory Services</w:t>
            </w:r>
          </w:p>
        </w:tc>
      </w:tr>
      <w:tr>
        <w:trPr>
          <w:trHeight w:val="174"/>
        </w:trPr>
        <w:tc>
          <w:tcPr>
            <w:tcW w:w="2120" w:type="dxa"/>
            <w:vAlign w:val="bottom"/>
            <w:shd w:val="clear" w:color="auto" w:fill="CCEEFF"/>
          </w:tcPr>
          <w:p>
            <w:pPr>
              <w:spacing w:after="0"/>
              <w:rPr>
                <w:sz w:val="20"/>
                <w:szCs w:val="20"/>
                <w:color w:val="auto"/>
              </w:rPr>
            </w:pPr>
            <w:r>
              <w:rPr>
                <w:rFonts w:ascii="Arial" w:cs="Arial" w:eastAsia="Arial" w:hAnsi="Arial"/>
                <w:sz w:val="15"/>
                <w:szCs w:val="15"/>
                <w:color w:val="1A475F"/>
              </w:rPr>
              <w:t>Rosamund Marshall</w:t>
            </w:r>
          </w:p>
        </w:tc>
        <w:tc>
          <w:tcPr>
            <w:tcW w:w="6960" w:type="dxa"/>
            <w:vAlign w:val="bottom"/>
            <w:shd w:val="clear" w:color="auto" w:fill="CCEEFF"/>
          </w:tcPr>
          <w:p>
            <w:pPr>
              <w:ind w:left="520"/>
              <w:spacing w:after="0"/>
              <w:rPr>
                <w:sz w:val="20"/>
                <w:szCs w:val="20"/>
                <w:color w:val="auto"/>
              </w:rPr>
            </w:pPr>
            <w:r>
              <w:rPr>
                <w:rFonts w:ascii="Arial" w:cs="Arial" w:eastAsia="Arial" w:hAnsi="Arial"/>
                <w:sz w:val="15"/>
                <w:szCs w:val="15"/>
                <w:color w:val="1A475F"/>
              </w:rPr>
              <w:t>Managing Director, International</w:t>
            </w:r>
          </w:p>
        </w:tc>
      </w:tr>
    </w:tbl>
    <w:p>
      <w:pPr>
        <w:spacing w:after="0" w:line="263"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Overview of Compensation Program</w:t>
      </w:r>
    </w:p>
    <w:p>
      <w:pPr>
        <w:spacing w:after="0" w:line="94" w:lineRule="exact"/>
        <w:rPr>
          <w:sz w:val="20"/>
          <w:szCs w:val="20"/>
          <w:color w:val="auto"/>
        </w:rPr>
      </w:pPr>
    </w:p>
    <w:p>
      <w:pPr>
        <w:ind w:left="900" w:right="80" w:firstLine="756"/>
        <w:spacing w:after="0" w:line="247" w:lineRule="auto"/>
        <w:rPr>
          <w:sz w:val="20"/>
          <w:szCs w:val="20"/>
          <w:color w:val="auto"/>
        </w:rPr>
      </w:pPr>
      <w:r>
        <w:rPr>
          <w:rFonts w:ascii="Arial" w:cs="Arial" w:eastAsia="Arial" w:hAnsi="Arial"/>
          <w:sz w:val="15"/>
          <w:szCs w:val="15"/>
          <w:color w:val="1A475F"/>
        </w:rPr>
        <w:t>Our NEOs’ compensation is determined by the Compensation Committee and is reviewed annually. Our executive compensation program is designed to attract and retain high-quality leadership and incentivize our executive officers and other key employees to achieve company performance goals and strong individual performance. Our pay-for-performance approach places a greater emphasis on long-term equity incentive grants than on other forms of compensation, reflecting our focus on long-term value creation, and serving to align the interests of our executive officers with those of our shareholders. In 2025, our long-term equity incentive program (“LTIP”) consisted of equity awards in the form of (1) performance-based restricted stock units (“PRSUs”), (2) time-based restricted stock units (“RSUs”), and (3) stock options. Equity awards under our LTIP seek to align executive compensation to performance by tying the vesting of such equity awards to pre-established Company performance metrics.</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2025 Financial Performance and Key Company Highlights</w:t>
      </w:r>
    </w:p>
    <w:p>
      <w:pPr>
        <w:spacing w:after="0" w:line="94" w:lineRule="exact"/>
        <w:rPr>
          <w:sz w:val="20"/>
          <w:szCs w:val="20"/>
          <w:color w:val="auto"/>
        </w:rPr>
      </w:pPr>
    </w:p>
    <w:p>
      <w:pPr>
        <w:ind w:left="900" w:right="220" w:firstLine="756"/>
        <w:spacing w:after="0" w:line="261" w:lineRule="auto"/>
        <w:rPr>
          <w:sz w:val="20"/>
          <w:szCs w:val="20"/>
          <w:color w:val="auto"/>
        </w:rPr>
      </w:pPr>
      <w:r>
        <w:rPr>
          <w:rFonts w:ascii="Arial" w:cs="Arial" w:eastAsia="Arial" w:hAnsi="Arial"/>
          <w:sz w:val="15"/>
          <w:szCs w:val="15"/>
          <w:color w:val="1A475F"/>
        </w:rPr>
        <w:t>We are proud of our 2025 results and the work performed by the entire Bright Horizons team. We believe deeply in our value proposition, business model, strength of our client partnerships and high-quality care and education we are delivering to the children, families and learners we serve. We believe that we are well positioned to capitalize on the growth opportunities ahead.</w:t>
      </w:r>
    </w:p>
    <w:p>
      <w:pPr>
        <w:spacing w:after="0" w:line="141" w:lineRule="exact"/>
        <w:rPr>
          <w:sz w:val="20"/>
          <w:szCs w:val="20"/>
          <w:color w:val="auto"/>
        </w:rPr>
      </w:pPr>
    </w:p>
    <w:p>
      <w:pPr>
        <w:ind w:left="900" w:right="60" w:firstLine="756"/>
        <w:spacing w:after="0" w:line="284" w:lineRule="auto"/>
        <w:rPr>
          <w:sz w:val="20"/>
          <w:szCs w:val="20"/>
          <w:color w:val="auto"/>
        </w:rPr>
      </w:pPr>
      <w:r>
        <w:rPr>
          <w:rFonts w:ascii="Arial" w:cs="Arial" w:eastAsia="Arial" w:hAnsi="Arial"/>
          <w:sz w:val="15"/>
          <w:szCs w:val="15"/>
          <w:b w:val="1"/>
          <w:bCs w:val="1"/>
          <w:color w:val="1A475F"/>
        </w:rPr>
        <w:t xml:space="preserve">2025 Financial Performance and Key Operational and Strategic Achievements: </w:t>
      </w:r>
      <w:r>
        <w:rPr>
          <w:rFonts w:ascii="Arial" w:cs="Arial" w:eastAsia="Arial" w:hAnsi="Arial"/>
          <w:sz w:val="15"/>
          <w:szCs w:val="15"/>
          <w:color w:val="1A475F"/>
        </w:rPr>
        <w:t>For 2025, the Company achieved positive</w:t>
      </w:r>
      <w:r>
        <w:rPr>
          <w:rFonts w:ascii="Arial" w:cs="Arial" w:eastAsia="Arial" w:hAnsi="Arial"/>
          <w:sz w:val="15"/>
          <w:szCs w:val="15"/>
          <w:b w:val="1"/>
          <w:bCs w:val="1"/>
          <w:color w:val="1A475F"/>
        </w:rPr>
        <w:t xml:space="preserve"> </w:t>
      </w:r>
      <w:r>
        <w:rPr>
          <w:rFonts w:ascii="Arial" w:cs="Arial" w:eastAsia="Arial" w:hAnsi="Arial"/>
          <w:sz w:val="15"/>
          <w:szCs w:val="15"/>
          <w:color w:val="1A475F"/>
        </w:rPr>
        <w:t>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104140</wp:posOffset>
            </wp:positionV>
            <wp:extent cx="3094355" cy="8382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94355" cy="83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00" w:right="140" w:firstLine="756"/>
        <w:spacing w:after="0" w:line="261" w:lineRule="auto"/>
        <w:rPr>
          <w:sz w:val="20"/>
          <w:szCs w:val="20"/>
          <w:color w:val="auto"/>
        </w:rPr>
      </w:pPr>
      <w:r>
        <w:rPr>
          <w:rFonts w:ascii="Arial" w:cs="Arial" w:eastAsia="Arial" w:hAnsi="Arial"/>
          <w:sz w:val="15"/>
          <w:szCs w:val="15"/>
          <w:color w:val="1A475F"/>
        </w:rPr>
        <w:t>During 2025, the Company successfully executed a number of operational and strategic actions to strengthen our client partnerships, enhance our value proposition and continue to deliver high-quality services. We believe that our NEOs were instrumental in helping us achieve these results and manage through continued changing market conditions. Key highlights are as follows:</w:t>
      </w:r>
    </w:p>
    <w:p>
      <w:pPr>
        <w:spacing w:after="0" w:line="62" w:lineRule="exact"/>
        <w:rPr>
          <w:sz w:val="20"/>
          <w:szCs w:val="20"/>
          <w:color w:val="auto"/>
        </w:rPr>
      </w:pPr>
    </w:p>
    <w:p>
      <w:pPr>
        <w:ind w:left="1640" w:hanging="368"/>
        <w:spacing w:after="0"/>
        <w:tabs>
          <w:tab w:leader="none" w:pos="1640" w:val="left"/>
        </w:tabs>
        <w:numPr>
          <w:ilvl w:val="0"/>
          <w:numId w:val="37"/>
        </w:numPr>
        <w:rPr>
          <w:rFonts w:ascii="Arial" w:cs="Arial" w:eastAsia="Arial" w:hAnsi="Arial"/>
          <w:sz w:val="15"/>
          <w:szCs w:val="15"/>
          <w:i w:val="1"/>
          <w:iCs w:val="1"/>
          <w:color w:val="1A475F"/>
        </w:rPr>
      </w:pPr>
      <w:r>
        <w:rPr>
          <w:rFonts w:ascii="Arial" w:cs="Arial" w:eastAsia="Arial" w:hAnsi="Arial"/>
          <w:sz w:val="15"/>
          <w:szCs w:val="15"/>
          <w:i w:val="1"/>
          <w:iCs w:val="1"/>
          <w:color w:val="1A475F"/>
        </w:rPr>
        <w:t>New Business Growth as of December 31, 2025:</w:t>
      </w:r>
    </w:p>
    <w:p>
      <w:pPr>
        <w:spacing w:after="0" w:line="105" w:lineRule="exact"/>
        <w:rPr>
          <w:rFonts w:ascii="Arial" w:cs="Arial" w:eastAsia="Arial" w:hAnsi="Arial"/>
          <w:sz w:val="15"/>
          <w:szCs w:val="15"/>
          <w:i w:val="1"/>
          <w:iCs w:val="1"/>
          <w:color w:val="1A475F"/>
        </w:rPr>
      </w:pPr>
    </w:p>
    <w:p>
      <w:pPr>
        <w:ind w:left="2400" w:right="140" w:hanging="376"/>
        <w:spacing w:after="0" w:line="282" w:lineRule="auto"/>
        <w:tabs>
          <w:tab w:leader="none" w:pos="2400" w:val="left"/>
        </w:tabs>
        <w:numPr>
          <w:ilvl w:val="1"/>
          <w:numId w:val="37"/>
        </w:numPr>
        <w:rPr>
          <w:rFonts w:ascii="Arial" w:cs="Arial" w:eastAsia="Arial" w:hAnsi="Arial"/>
          <w:sz w:val="15"/>
          <w:szCs w:val="15"/>
          <w:color w:val="1A475F"/>
        </w:rPr>
      </w:pPr>
      <w:r>
        <w:rPr>
          <w:rFonts w:ascii="Arial" w:cs="Arial" w:eastAsia="Arial" w:hAnsi="Arial"/>
          <w:sz w:val="15"/>
          <w:szCs w:val="15"/>
          <w:color w:val="1A475F"/>
        </w:rPr>
        <w:t>Operated 1,010 early education and child care centers with the capacity to serve approximately 115,000 children in the United States, the United Kingdom, the Netherlands, Australia and India.</w:t>
      </w:r>
    </w:p>
    <w:p>
      <w:pPr>
        <w:spacing w:after="0" w:line="46" w:lineRule="exact"/>
        <w:rPr>
          <w:rFonts w:ascii="Arial" w:cs="Arial" w:eastAsia="Arial" w:hAnsi="Arial"/>
          <w:sz w:val="15"/>
          <w:szCs w:val="15"/>
          <w:color w:val="1A475F"/>
        </w:rPr>
      </w:pPr>
    </w:p>
    <w:p>
      <w:pPr>
        <w:ind w:left="2400" w:right="260" w:hanging="376"/>
        <w:spacing w:after="0" w:line="282" w:lineRule="auto"/>
        <w:tabs>
          <w:tab w:leader="none" w:pos="2400" w:val="left"/>
        </w:tabs>
        <w:numPr>
          <w:ilvl w:val="1"/>
          <w:numId w:val="37"/>
        </w:numPr>
        <w:rPr>
          <w:rFonts w:ascii="Arial" w:cs="Arial" w:eastAsia="Arial" w:hAnsi="Arial"/>
          <w:sz w:val="15"/>
          <w:szCs w:val="15"/>
          <w:color w:val="1A475F"/>
        </w:rPr>
      </w:pPr>
      <w:r>
        <w:rPr>
          <w:rFonts w:ascii="Arial" w:cs="Arial" w:eastAsia="Arial" w:hAnsi="Arial"/>
          <w:sz w:val="15"/>
          <w:szCs w:val="15"/>
          <w:color w:val="1A475F"/>
        </w:rPr>
        <w:t>Proudly served more than 1,450 client relationships with employers across a diverse array of industries, including more than 220 Fortune 500 companies.</w:t>
      </w:r>
    </w:p>
    <w:p>
      <w:pPr>
        <w:spacing w:after="0" w:line="46" w:lineRule="exact"/>
        <w:rPr>
          <w:rFonts w:ascii="Arial" w:cs="Arial" w:eastAsia="Arial" w:hAnsi="Arial"/>
          <w:sz w:val="15"/>
          <w:szCs w:val="15"/>
          <w:color w:val="1A475F"/>
        </w:rPr>
      </w:pPr>
    </w:p>
    <w:p>
      <w:pPr>
        <w:ind w:left="2400" w:right="240" w:hanging="376"/>
        <w:spacing w:after="0" w:line="255" w:lineRule="auto"/>
        <w:tabs>
          <w:tab w:leader="none" w:pos="2400" w:val="left"/>
        </w:tabs>
        <w:numPr>
          <w:ilvl w:val="1"/>
          <w:numId w:val="37"/>
        </w:numPr>
        <w:rPr>
          <w:rFonts w:ascii="Arial" w:cs="Arial" w:eastAsia="Arial" w:hAnsi="Arial"/>
          <w:sz w:val="15"/>
          <w:szCs w:val="15"/>
          <w:color w:val="1A475F"/>
        </w:rPr>
      </w:pPr>
      <w:r>
        <w:rPr>
          <w:rFonts w:ascii="Arial" w:cs="Arial" w:eastAsia="Arial" w:hAnsi="Arial"/>
          <w:sz w:val="15"/>
          <w:szCs w:val="15"/>
          <w:color w:val="1A475F"/>
        </w:rPr>
        <w:t>Generated strong revenue growth of 9% over the prior year, with solid performance in each of our operating segments, with Full Service Center-Based Child Care contributing revenue of approximately $2.1 billion, Back-Up Care Services growing revenue to $728 million and our Educational Advisory Services generating revenue of approximately $125 million.</w:t>
      </w:r>
    </w:p>
    <w:p>
      <w:pPr>
        <w:spacing w:after="0" w:line="87"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32</w:t>
        <w:tab/>
        <w:t>|    Bright Horizons </w:t>
      </w:r>
    </w:p>
    <w:p>
      <w:pPr>
        <w:sectPr>
          <w:pgSz w:w="11900" w:h="16838" w:orient="portrait"/>
          <w:cols w:equalWidth="0" w:num="1">
            <w:col w:w="10360"/>
          </w:cols>
          <w:pgMar w:left="320" w:top="433" w:right="12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1640" w:right="100" w:hanging="368"/>
        <w:spacing w:after="0" w:line="261" w:lineRule="auto"/>
        <w:tabs>
          <w:tab w:leader="none" w:pos="1640" w:val="left"/>
        </w:tabs>
        <w:numPr>
          <w:ilvl w:val="0"/>
          <w:numId w:val="38"/>
        </w:numPr>
        <w:rPr>
          <w:rFonts w:ascii="Arial" w:cs="Arial" w:eastAsia="Arial" w:hAnsi="Arial"/>
          <w:sz w:val="15"/>
          <w:szCs w:val="15"/>
          <w:color w:val="1A475F"/>
        </w:rPr>
      </w:pPr>
      <w:r>
        <w:rPr>
          <w:rFonts w:ascii="Arial" w:cs="Arial" w:eastAsia="Arial" w:hAnsi="Arial"/>
          <w:sz w:val="15"/>
          <w:szCs w:val="15"/>
          <w:i w:val="1"/>
          <w:iCs w:val="1"/>
          <w:color w:val="1A475F"/>
        </w:rPr>
        <w:t xml:space="preserve">Total Shareholder Return (“TSR”): </w:t>
      </w:r>
      <w:r>
        <w:rPr>
          <w:rFonts w:ascii="Arial" w:cs="Arial" w:eastAsia="Arial" w:hAnsi="Arial"/>
          <w:sz w:val="15"/>
          <w:szCs w:val="15"/>
          <w:color w:val="1A475F"/>
        </w:rPr>
        <w:t>Despite year over year revenue growth since 2020, the Company’s stock price has</w:t>
      </w:r>
      <w:r>
        <w:rPr>
          <w:rFonts w:ascii="Arial" w:cs="Arial" w:eastAsia="Arial" w:hAnsi="Arial"/>
          <w:sz w:val="15"/>
          <w:szCs w:val="15"/>
          <w:i w:val="1"/>
          <w:iCs w:val="1"/>
          <w:color w:val="1A475F"/>
        </w:rPr>
        <w:t xml:space="preserve"> </w:t>
      </w:r>
      <w:r>
        <w:rPr>
          <w:rFonts w:ascii="Arial" w:cs="Arial" w:eastAsia="Arial" w:hAnsi="Arial"/>
          <w:sz w:val="15"/>
          <w:szCs w:val="15"/>
          <w:color w:val="1A475F"/>
        </w:rPr>
        <w:t>experienced volatility generally over the past five years. The Company remains broadly in line with both the Russell 3000 Total Return Index and Russell Midcap Growth Index on a three-year basis as outlined below:</w:t>
      </w:r>
    </w:p>
    <w:p>
      <w:pPr>
        <w:spacing w:after="0" w:line="169" w:lineRule="exact"/>
        <w:rPr>
          <w:sz w:val="20"/>
          <w:szCs w:val="20"/>
          <w:color w:val="auto"/>
        </w:rPr>
      </w:pPr>
    </w:p>
    <w:tbl>
      <w:tblPr>
        <w:tblLayout w:type="fixed"/>
        <w:tblInd w:w="242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1A475F"/>
              </w:rPr>
              <w:t>  1-Year </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A475F"/>
                <w:w w:val="85"/>
              </w:rPr>
              <w:t>  3-Year </w:t>
            </w: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1A475F"/>
                <w:w w:val="93"/>
              </w:rPr>
              <w:t>  5-Year</w:t>
            </w:r>
          </w:p>
        </w:tc>
      </w:tr>
      <w:tr>
        <w:trPr>
          <w:trHeight w:val="154"/>
        </w:trPr>
        <w:tc>
          <w:tcPr>
            <w:tcW w:w="448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4"/>
                <w:szCs w:val="14"/>
                <w:color w:val="1A475F"/>
              </w:rPr>
              <w:t>Bright Horizons Family Solutions</w:t>
            </w:r>
          </w:p>
        </w:tc>
        <w:tc>
          <w:tcPr>
            <w:tcW w:w="600" w:type="dxa"/>
            <w:vAlign w:val="bottom"/>
            <w:tcBorders>
              <w:top w:val="single" w:sz="8" w:color="auto"/>
            </w:tcBorders>
            <w:shd w:val="clear" w:color="auto" w:fill="CCEEFF"/>
          </w:tcPr>
          <w:p>
            <w:pPr>
              <w:jc w:val="center"/>
              <w:spacing w:after="0" w:line="154" w:lineRule="exact"/>
              <w:rPr>
                <w:sz w:val="20"/>
                <w:szCs w:val="20"/>
                <w:color w:val="auto"/>
              </w:rPr>
            </w:pPr>
            <w:r>
              <w:rPr>
                <w:rFonts w:ascii="Arial" w:cs="Arial" w:eastAsia="Arial" w:hAnsi="Arial"/>
                <w:sz w:val="14"/>
                <w:szCs w:val="14"/>
                <w:color w:val="1A475F"/>
                <w:w w:val="97"/>
              </w:rPr>
              <w:t>(8.54)%</w:t>
            </w: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center"/>
              <w:spacing w:after="0" w:line="154" w:lineRule="exact"/>
              <w:rPr>
                <w:sz w:val="20"/>
                <w:szCs w:val="20"/>
                <w:color w:val="auto"/>
              </w:rPr>
            </w:pPr>
            <w:r>
              <w:rPr>
                <w:rFonts w:ascii="Arial" w:cs="Arial" w:eastAsia="Arial" w:hAnsi="Arial"/>
                <w:sz w:val="14"/>
                <w:szCs w:val="14"/>
                <w:color w:val="1A475F"/>
              </w:rPr>
              <w:t>17.12%</w:t>
            </w: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1A475F"/>
                <w:w w:val="98"/>
              </w:rPr>
              <w:t>(10.14)%</w:t>
            </w:r>
          </w:p>
        </w:tc>
      </w:tr>
      <w:tr>
        <w:trPr>
          <w:trHeight w:val="162"/>
        </w:trPr>
        <w:tc>
          <w:tcPr>
            <w:tcW w:w="4480" w:type="dxa"/>
            <w:vAlign w:val="bottom"/>
          </w:tcPr>
          <w:p>
            <w:pPr>
              <w:spacing w:after="0"/>
              <w:rPr>
                <w:sz w:val="20"/>
                <w:szCs w:val="20"/>
                <w:color w:val="auto"/>
              </w:rPr>
            </w:pPr>
            <w:r>
              <w:rPr>
                <w:rFonts w:ascii="Arial" w:cs="Arial" w:eastAsia="Arial" w:hAnsi="Arial"/>
                <w:sz w:val="14"/>
                <w:szCs w:val="14"/>
                <w:color w:val="1A475F"/>
              </w:rPr>
              <w:t>Russell 3000 Total Return Index</w:t>
            </w:r>
          </w:p>
        </w:tc>
        <w:tc>
          <w:tcPr>
            <w:tcW w:w="600" w:type="dxa"/>
            <w:vAlign w:val="bottom"/>
          </w:tcPr>
          <w:p>
            <w:pPr>
              <w:jc w:val="center"/>
              <w:spacing w:after="0"/>
              <w:rPr>
                <w:sz w:val="20"/>
                <w:szCs w:val="20"/>
                <w:color w:val="auto"/>
              </w:rPr>
            </w:pPr>
            <w:r>
              <w:rPr>
                <w:rFonts w:ascii="Arial" w:cs="Arial" w:eastAsia="Arial" w:hAnsi="Arial"/>
                <w:sz w:val="14"/>
                <w:szCs w:val="14"/>
                <w:color w:val="1A475F"/>
              </w:rPr>
              <w:t>17.15%</w:t>
            </w:r>
          </w:p>
        </w:tc>
        <w:tc>
          <w:tcPr>
            <w:tcW w:w="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1A475F"/>
              </w:rPr>
              <w:t>22.25%</w:t>
            </w:r>
          </w:p>
        </w:tc>
        <w:tc>
          <w:tcPr>
            <w:tcW w:w="60" w:type="dxa"/>
            <w:vAlign w:val="bottom"/>
          </w:tcPr>
          <w:p>
            <w:pPr>
              <w:spacing w:after="0"/>
              <w:rPr>
                <w:sz w:val="14"/>
                <w:szCs w:val="14"/>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1A475F"/>
              </w:rPr>
              <w:t>13.15%</w:t>
            </w:r>
          </w:p>
        </w:tc>
      </w:tr>
      <w:tr>
        <w:trPr>
          <w:trHeight w:val="162"/>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1A475F"/>
              </w:rPr>
              <w:t>Russell Midcap Growth Index</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1A475F"/>
                <w:w w:val="93"/>
              </w:rPr>
              <w:t>  8.66%</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1A475F"/>
              </w:rPr>
              <w:t>18.64%</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1A475F"/>
              </w:rPr>
              <w:t>  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73660</wp:posOffset>
            </wp:positionV>
            <wp:extent cx="55118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1180" cy="7620"/>
                    </a:xfrm>
                    <a:prstGeom prst="rect">
                      <a:avLst/>
                    </a:prstGeom>
                    <a:noFill/>
                  </pic:spPr>
                </pic:pic>
              </a:graphicData>
            </a:graphic>
          </wp:anchor>
        </w:drawing>
      </w:r>
    </w:p>
    <w:p>
      <w:pPr>
        <w:spacing w:after="0" w:line="134" w:lineRule="exact"/>
        <w:rPr>
          <w:sz w:val="20"/>
          <w:szCs w:val="20"/>
          <w:color w:val="auto"/>
        </w:rPr>
      </w:pPr>
    </w:p>
    <w:p>
      <w:pPr>
        <w:ind w:left="2420" w:right="1320"/>
        <w:spacing w:after="0" w:line="282" w:lineRule="auto"/>
        <w:rPr>
          <w:sz w:val="20"/>
          <w:szCs w:val="20"/>
          <w:color w:val="auto"/>
        </w:rPr>
      </w:pPr>
      <w:r>
        <w:rPr>
          <w:rFonts w:ascii="Arial" w:cs="Arial" w:eastAsia="Arial" w:hAnsi="Arial"/>
          <w:sz w:val="12"/>
          <w:szCs w:val="12"/>
          <w:color w:val="1A475F"/>
        </w:rPr>
        <w:t>*Source: Zacks Investment Research, Inc. Used with permission. All rights reserved. Copyright 1980-2026; Factset; as of         December 31, 2025.</w:t>
      </w:r>
    </w:p>
    <w:p>
      <w:pPr>
        <w:spacing w:after="0" w:line="74" w:lineRule="exact"/>
        <w:rPr>
          <w:sz w:val="20"/>
          <w:szCs w:val="20"/>
          <w:color w:val="auto"/>
        </w:rPr>
      </w:pPr>
    </w:p>
    <w:p>
      <w:pPr>
        <w:jc w:val="both"/>
        <w:ind w:left="1640" w:right="160" w:hanging="368"/>
        <w:spacing w:after="0" w:line="255" w:lineRule="auto"/>
        <w:tabs>
          <w:tab w:leader="none" w:pos="1640" w:val="left"/>
        </w:tabs>
        <w:numPr>
          <w:ilvl w:val="0"/>
          <w:numId w:val="39"/>
        </w:numPr>
        <w:rPr>
          <w:rFonts w:ascii="Arial" w:cs="Arial" w:eastAsia="Arial" w:hAnsi="Arial"/>
          <w:sz w:val="15"/>
          <w:szCs w:val="15"/>
          <w:color w:val="1A475F"/>
        </w:rPr>
      </w:pPr>
      <w:r>
        <w:rPr>
          <w:rFonts w:ascii="Arial" w:cs="Arial" w:eastAsia="Arial" w:hAnsi="Arial"/>
          <w:sz w:val="15"/>
          <w:szCs w:val="15"/>
          <w:i w:val="1"/>
          <w:iCs w:val="1"/>
          <w:color w:val="1A475F"/>
        </w:rPr>
        <w:t xml:space="preserve">Investments in Employees: </w:t>
      </w:r>
      <w:r>
        <w:rPr>
          <w:rFonts w:ascii="Arial" w:cs="Arial" w:eastAsia="Arial" w:hAnsi="Arial"/>
          <w:sz w:val="15"/>
          <w:szCs w:val="15"/>
          <w:color w:val="1A475F"/>
        </w:rPr>
        <w:t>Our business is about people serving people, and our success depends on attracting, developing</w:t>
      </w:r>
      <w:r>
        <w:rPr>
          <w:rFonts w:ascii="Arial" w:cs="Arial" w:eastAsia="Arial" w:hAnsi="Arial"/>
          <w:sz w:val="15"/>
          <w:szCs w:val="15"/>
          <w:i w:val="1"/>
          <w:iCs w:val="1"/>
          <w:color w:val="1A475F"/>
        </w:rPr>
        <w:t xml:space="preserve"> </w:t>
      </w:r>
      <w:r>
        <w:rPr>
          <w:rFonts w:ascii="Arial" w:cs="Arial" w:eastAsia="Arial" w:hAnsi="Arial"/>
          <w:sz w:val="15"/>
          <w:szCs w:val="15"/>
          <w:color w:val="1A475F"/>
        </w:rPr>
        <w:t>and retaining talented and highly qualified employees. We are regularly investing in resources and creating programs to build culture, to provide fair and competitive pay, to offer benefits to support our employees’ well-being, to create environments that attract, retain and engage our talent, and to foster personal growth and career development opportunities.</w:t>
      </w:r>
    </w:p>
    <w:p>
      <w:pPr>
        <w:spacing w:after="0" w:line="65" w:lineRule="exact"/>
        <w:rPr>
          <w:rFonts w:ascii="Arial" w:cs="Arial" w:eastAsia="Arial" w:hAnsi="Arial"/>
          <w:sz w:val="15"/>
          <w:szCs w:val="15"/>
          <w:color w:val="1A475F"/>
        </w:rPr>
      </w:pPr>
    </w:p>
    <w:p>
      <w:pPr>
        <w:ind w:left="1640" w:right="140" w:hanging="368"/>
        <w:spacing w:after="0" w:line="261" w:lineRule="auto"/>
        <w:tabs>
          <w:tab w:leader="none" w:pos="1640" w:val="left"/>
        </w:tabs>
        <w:numPr>
          <w:ilvl w:val="0"/>
          <w:numId w:val="39"/>
        </w:numPr>
        <w:rPr>
          <w:rFonts w:ascii="Arial" w:cs="Arial" w:eastAsia="Arial" w:hAnsi="Arial"/>
          <w:sz w:val="15"/>
          <w:szCs w:val="15"/>
          <w:color w:val="1A475F"/>
        </w:rPr>
      </w:pPr>
      <w:r>
        <w:rPr>
          <w:rFonts w:ascii="Arial" w:cs="Arial" w:eastAsia="Arial" w:hAnsi="Arial"/>
          <w:sz w:val="15"/>
          <w:szCs w:val="15"/>
          <w:i w:val="1"/>
          <w:iCs w:val="1"/>
          <w:color w:val="1A475F"/>
        </w:rPr>
        <w:t xml:space="preserve">Award Winning Culture and Recognition as an Employer of Choice: </w:t>
      </w:r>
      <w:r>
        <w:rPr>
          <w:rFonts w:ascii="Arial" w:cs="Arial" w:eastAsia="Arial" w:hAnsi="Arial"/>
          <w:sz w:val="15"/>
          <w:szCs w:val="15"/>
          <w:color w:val="1A475F"/>
        </w:rPr>
        <w:t>We are honored and proud to have a long track record of</w:t>
      </w:r>
      <w:r>
        <w:rPr>
          <w:rFonts w:ascii="Arial" w:cs="Arial" w:eastAsia="Arial" w:hAnsi="Arial"/>
          <w:sz w:val="15"/>
          <w:szCs w:val="15"/>
          <w:i w:val="1"/>
          <w:iCs w:val="1"/>
          <w:color w:val="1A475F"/>
        </w:rPr>
        <w:t xml:space="preserve"> </w:t>
      </w:r>
      <w:r>
        <w:rPr>
          <w:rFonts w:ascii="Arial" w:cs="Arial" w:eastAsia="Arial" w:hAnsi="Arial"/>
          <w:sz w:val="15"/>
          <w:szCs w:val="15"/>
          <w:color w:val="1A475F"/>
        </w:rPr>
        <w:t>being named an employer of choice. The following awards represent a recognition of the strong culture we have built at Bright Horizons and the programs and benefits we offer to our employees:</w:t>
      </w:r>
    </w:p>
    <w:p>
      <w:pPr>
        <w:sectPr>
          <w:pgSz w:w="11900" w:h="16838" w:orient="portrait"/>
          <w:cols w:equalWidth="0" w:num="1">
            <w:col w:w="10340"/>
          </w:cols>
          <w:pgMar w:left="320" w:top="433" w:right="1239" w:bottom="1440" w:gutter="0" w:footer="0" w:header="0"/>
        </w:sectPr>
      </w:pPr>
    </w:p>
    <w:p>
      <w:pPr>
        <w:spacing w:after="0" w:line="167" w:lineRule="exact"/>
        <w:rPr>
          <w:sz w:val="20"/>
          <w:szCs w:val="20"/>
          <w:color w:val="auto"/>
        </w:rPr>
      </w:pPr>
    </w:p>
    <w:p>
      <w:pPr>
        <w:ind w:left="1940" w:right="200" w:hanging="302"/>
        <w:spacing w:after="0" w:line="261" w:lineRule="auto"/>
        <w:tabs>
          <w:tab w:leader="none" w:pos="1940" w:val="left"/>
        </w:tabs>
        <w:numPr>
          <w:ilvl w:val="0"/>
          <w:numId w:val="40"/>
        </w:numPr>
        <w:rPr>
          <w:rFonts w:ascii="MS PGothic" w:cs="MS PGothic" w:eastAsia="MS PGothic" w:hAnsi="MS PGothic"/>
          <w:sz w:val="15"/>
          <w:szCs w:val="15"/>
          <w:color w:val="1A475F"/>
        </w:rPr>
      </w:pPr>
      <w:r>
        <w:rPr>
          <w:rFonts w:ascii="Arial" w:cs="Arial" w:eastAsia="Arial" w:hAnsi="Arial"/>
          <w:sz w:val="15"/>
          <w:szCs w:val="15"/>
          <w:color w:val="1A475F"/>
        </w:rPr>
        <w:t>2025 “Best Places to Work” by the Boston Business Journal</w:t>
      </w:r>
    </w:p>
    <w:p>
      <w:pPr>
        <w:spacing w:after="0" w:line="18" w:lineRule="exact"/>
        <w:rPr>
          <w:rFonts w:ascii="MS PGothic" w:cs="MS PGothic" w:eastAsia="MS PGothic" w:hAnsi="MS PGothic"/>
          <w:sz w:val="15"/>
          <w:szCs w:val="15"/>
          <w:color w:val="1A475F"/>
        </w:rPr>
      </w:pPr>
    </w:p>
    <w:p>
      <w:pPr>
        <w:ind w:left="1940" w:right="160" w:hanging="302"/>
        <w:spacing w:after="0" w:line="261" w:lineRule="auto"/>
        <w:tabs>
          <w:tab w:leader="none" w:pos="1940" w:val="left"/>
        </w:tabs>
        <w:numPr>
          <w:ilvl w:val="0"/>
          <w:numId w:val="40"/>
        </w:numPr>
        <w:rPr>
          <w:rFonts w:ascii="MS PGothic" w:cs="MS PGothic" w:eastAsia="MS PGothic" w:hAnsi="MS PGothic"/>
          <w:sz w:val="15"/>
          <w:szCs w:val="15"/>
          <w:color w:val="1A475F"/>
        </w:rPr>
      </w:pPr>
      <w:r>
        <w:rPr>
          <w:rFonts w:ascii="Arial" w:cs="Arial" w:eastAsia="Arial" w:hAnsi="Arial"/>
          <w:sz w:val="15"/>
          <w:szCs w:val="15"/>
          <w:color w:val="1A475F"/>
        </w:rPr>
        <w:t>2025 America’s Greatest Workplaces for Inclusion &amp; Diversity by Newsweek</w:t>
      </w:r>
    </w:p>
    <w:p>
      <w:pPr>
        <w:spacing w:after="0" w:line="18" w:lineRule="exact"/>
        <w:rPr>
          <w:rFonts w:ascii="MS PGothic" w:cs="MS PGothic" w:eastAsia="MS PGothic" w:hAnsi="MS PGothic"/>
          <w:sz w:val="15"/>
          <w:szCs w:val="15"/>
          <w:color w:val="1A475F"/>
        </w:rPr>
      </w:pPr>
    </w:p>
    <w:p>
      <w:pPr>
        <w:ind w:left="1940" w:hanging="302"/>
        <w:spacing w:after="0" w:line="282" w:lineRule="auto"/>
        <w:tabs>
          <w:tab w:leader="none" w:pos="1940" w:val="left"/>
        </w:tabs>
        <w:numPr>
          <w:ilvl w:val="0"/>
          <w:numId w:val="40"/>
        </w:numPr>
        <w:rPr>
          <w:rFonts w:ascii="MS PGothic" w:cs="MS PGothic" w:eastAsia="MS PGothic" w:hAnsi="MS PGothic"/>
          <w:sz w:val="15"/>
          <w:szCs w:val="15"/>
          <w:color w:val="1A475F"/>
        </w:rPr>
      </w:pPr>
      <w:r>
        <w:rPr>
          <w:rFonts w:ascii="Arial" w:cs="Arial" w:eastAsia="Arial" w:hAnsi="Arial"/>
          <w:sz w:val="15"/>
          <w:szCs w:val="15"/>
          <w:color w:val="1A475F"/>
        </w:rPr>
        <w:t>2025 “Best Workplaces for Women” in the Netherlands by the Great Place to Work Institute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94" w:right="380" w:hanging="294"/>
        <w:spacing w:after="0" w:line="261" w:lineRule="auto"/>
        <w:tabs>
          <w:tab w:leader="none" w:pos="294" w:val="left"/>
        </w:tabs>
        <w:numPr>
          <w:ilvl w:val="0"/>
          <w:numId w:val="41"/>
        </w:numPr>
        <w:rPr>
          <w:rFonts w:ascii="MS PGothic" w:cs="MS PGothic" w:eastAsia="MS PGothic" w:hAnsi="MS PGothic"/>
          <w:sz w:val="15"/>
          <w:szCs w:val="15"/>
          <w:color w:val="1A475F"/>
        </w:rPr>
      </w:pPr>
      <w:r>
        <w:rPr>
          <w:rFonts w:ascii="Arial" w:cs="Arial" w:eastAsia="Arial" w:hAnsi="Arial"/>
          <w:sz w:val="15"/>
          <w:szCs w:val="15"/>
          <w:color w:val="1A475F"/>
        </w:rPr>
        <w:t>2025 “Best Workplaces” in the United Kingdom by the Great Place to Work Institute</w:t>
      </w:r>
    </w:p>
    <w:p>
      <w:pPr>
        <w:spacing w:after="0" w:line="18" w:lineRule="exact"/>
        <w:rPr>
          <w:rFonts w:ascii="MS PGothic" w:cs="MS PGothic" w:eastAsia="MS PGothic" w:hAnsi="MS PGothic"/>
          <w:sz w:val="15"/>
          <w:szCs w:val="15"/>
          <w:color w:val="1A475F"/>
        </w:rPr>
      </w:pPr>
    </w:p>
    <w:p>
      <w:pPr>
        <w:ind w:left="294" w:right="120" w:hanging="294"/>
        <w:spacing w:after="0" w:line="261" w:lineRule="auto"/>
        <w:tabs>
          <w:tab w:leader="none" w:pos="294" w:val="left"/>
        </w:tabs>
        <w:numPr>
          <w:ilvl w:val="0"/>
          <w:numId w:val="41"/>
        </w:numPr>
        <w:rPr>
          <w:rFonts w:ascii="MS PGothic" w:cs="MS PGothic" w:eastAsia="MS PGothic" w:hAnsi="MS PGothic"/>
          <w:sz w:val="15"/>
          <w:szCs w:val="15"/>
          <w:color w:val="1A475F"/>
        </w:rPr>
      </w:pPr>
      <w:r>
        <w:rPr>
          <w:rFonts w:ascii="Arial" w:cs="Arial" w:eastAsia="Arial" w:hAnsi="Arial"/>
          <w:sz w:val="15"/>
          <w:szCs w:val="15"/>
          <w:color w:val="1A475F"/>
        </w:rPr>
        <w:t>2025 “Best Workplaces for Women” by the Great Place to Work Institute in the United Kingdom</w:t>
      </w:r>
    </w:p>
    <w:p>
      <w:pPr>
        <w:spacing w:after="0" w:line="18" w:lineRule="exact"/>
        <w:rPr>
          <w:rFonts w:ascii="MS PGothic" w:cs="MS PGothic" w:eastAsia="MS PGothic" w:hAnsi="MS PGothic"/>
          <w:sz w:val="15"/>
          <w:szCs w:val="15"/>
          <w:color w:val="1A475F"/>
        </w:rPr>
      </w:pPr>
    </w:p>
    <w:p>
      <w:pPr>
        <w:ind w:left="294" w:right="140" w:hanging="294"/>
        <w:spacing w:after="0" w:line="282" w:lineRule="auto"/>
        <w:tabs>
          <w:tab w:leader="none" w:pos="294" w:val="left"/>
        </w:tabs>
        <w:numPr>
          <w:ilvl w:val="0"/>
          <w:numId w:val="41"/>
        </w:numPr>
        <w:rPr>
          <w:rFonts w:ascii="MS PGothic" w:cs="MS PGothic" w:eastAsia="MS PGothic" w:hAnsi="MS PGothic"/>
          <w:sz w:val="15"/>
          <w:szCs w:val="15"/>
          <w:color w:val="1A475F"/>
        </w:rPr>
      </w:pPr>
      <w:r>
        <w:rPr>
          <w:rFonts w:ascii="Arial" w:cs="Arial" w:eastAsia="Arial" w:hAnsi="Arial"/>
          <w:sz w:val="15"/>
          <w:szCs w:val="15"/>
          <w:color w:val="1A475F"/>
        </w:rPr>
        <w:t>2025 “Best Workplaces for Wellbeing” by the Great Place to Work Institute in the United Kingdom</w:t>
      </w:r>
    </w:p>
    <w:p>
      <w:pPr>
        <w:spacing w:after="0" w:line="127" w:lineRule="exact"/>
        <w:rPr>
          <w:sz w:val="20"/>
          <w:szCs w:val="20"/>
          <w:color w:val="auto"/>
        </w:rPr>
      </w:pPr>
    </w:p>
    <w:p>
      <w:pPr>
        <w:sectPr>
          <w:pgSz w:w="11900" w:h="16838" w:orient="portrait"/>
          <w:cols w:equalWidth="0" w:num="2">
            <w:col w:w="5660" w:space="346"/>
            <w:col w:w="4334"/>
          </w:cols>
          <w:pgMar w:left="320" w:top="433" w:right="1239" w:bottom="1440" w:gutter="0" w:footer="0" w:header="0"/>
          <w:type w:val="continuous"/>
        </w:sectPr>
      </w:pPr>
    </w:p>
    <w:p>
      <w:pPr>
        <w:ind w:left="1660"/>
        <w:spacing w:after="0"/>
        <w:rPr>
          <w:sz w:val="20"/>
          <w:szCs w:val="20"/>
          <w:color w:val="auto"/>
        </w:rPr>
      </w:pPr>
      <w:r>
        <w:rPr>
          <w:rFonts w:ascii="Arial" w:cs="Arial" w:eastAsia="Arial" w:hAnsi="Arial"/>
          <w:sz w:val="15"/>
          <w:szCs w:val="15"/>
          <w:color w:val="1A475F"/>
        </w:rPr>
        <w:t>For additional information on the Company’s 2025 performance, please see our 2025 Annual Report.</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2025 Compensation Highlights</w:t>
      </w:r>
    </w:p>
    <w:p>
      <w:pPr>
        <w:spacing w:after="0" w:line="94" w:lineRule="exact"/>
        <w:rPr>
          <w:sz w:val="20"/>
          <w:szCs w:val="20"/>
          <w:color w:val="auto"/>
        </w:rPr>
      </w:pPr>
    </w:p>
    <w:p>
      <w:pPr>
        <w:ind w:left="900" w:right="160" w:firstLine="756"/>
        <w:spacing w:after="0" w:line="282" w:lineRule="auto"/>
        <w:rPr>
          <w:sz w:val="20"/>
          <w:szCs w:val="20"/>
          <w:color w:val="auto"/>
        </w:rPr>
      </w:pPr>
      <w:r>
        <w:rPr>
          <w:rFonts w:ascii="Arial" w:cs="Arial" w:eastAsia="Arial" w:hAnsi="Arial"/>
          <w:sz w:val="15"/>
          <w:szCs w:val="15"/>
          <w:color w:val="1A475F"/>
        </w:rPr>
        <w:t>During 2025, the Compensation Committee reviewed the Company’s overall executive compensation program and elected to maintain an executive compensation program that was broadly aligned with the prior year. In 2025, the Compensation Committee:</w:t>
      </w:r>
    </w:p>
    <w:p>
      <w:pPr>
        <w:spacing w:after="0" w:line="46" w:lineRule="exact"/>
        <w:rPr>
          <w:sz w:val="20"/>
          <w:szCs w:val="20"/>
          <w:color w:val="auto"/>
        </w:rPr>
      </w:pPr>
    </w:p>
    <w:p>
      <w:pPr>
        <w:ind w:left="1640" w:hanging="368"/>
        <w:spacing w:after="0"/>
        <w:tabs>
          <w:tab w:leader="none" w:pos="1640" w:val="left"/>
        </w:tabs>
        <w:numPr>
          <w:ilvl w:val="0"/>
          <w:numId w:val="42"/>
        </w:numPr>
        <w:rPr>
          <w:rFonts w:ascii="Arial" w:cs="Arial" w:eastAsia="Arial" w:hAnsi="Arial"/>
          <w:sz w:val="15"/>
          <w:szCs w:val="15"/>
          <w:color w:val="1A475F"/>
        </w:rPr>
      </w:pPr>
      <w:r>
        <w:rPr>
          <w:rFonts w:ascii="Arial" w:cs="Arial" w:eastAsia="Arial" w:hAnsi="Arial"/>
          <w:sz w:val="15"/>
          <w:szCs w:val="15"/>
          <w:color w:val="1A475F"/>
        </w:rPr>
        <w:t>Maintained overall salary levels for all NEOs, reflecting a modest 4% salary adjustment consistent with prior years.</w:t>
      </w:r>
    </w:p>
    <w:p>
      <w:pPr>
        <w:spacing w:after="0" w:line="105" w:lineRule="exact"/>
        <w:rPr>
          <w:rFonts w:ascii="Arial" w:cs="Arial" w:eastAsia="Arial" w:hAnsi="Arial"/>
          <w:sz w:val="15"/>
          <w:szCs w:val="15"/>
          <w:color w:val="1A475F"/>
        </w:rPr>
      </w:pPr>
    </w:p>
    <w:p>
      <w:pPr>
        <w:ind w:left="1640" w:hanging="368"/>
        <w:spacing w:after="0"/>
        <w:tabs>
          <w:tab w:leader="none" w:pos="1640" w:val="left"/>
        </w:tabs>
        <w:numPr>
          <w:ilvl w:val="0"/>
          <w:numId w:val="42"/>
        </w:numPr>
        <w:rPr>
          <w:rFonts w:ascii="Arial" w:cs="Arial" w:eastAsia="Arial" w:hAnsi="Arial"/>
          <w:sz w:val="15"/>
          <w:szCs w:val="15"/>
          <w:color w:val="1A475F"/>
        </w:rPr>
      </w:pPr>
      <w:r>
        <w:rPr>
          <w:rFonts w:ascii="Arial" w:cs="Arial" w:eastAsia="Arial" w:hAnsi="Arial"/>
          <w:sz w:val="15"/>
          <w:szCs w:val="15"/>
          <w:color w:val="1A475F"/>
        </w:rPr>
        <w:t>Maintained the target annual bonus opportunity for all NEOs consistent with 2024 levels.</w:t>
      </w:r>
    </w:p>
    <w:p>
      <w:pPr>
        <w:spacing w:after="0" w:line="105" w:lineRule="exact"/>
        <w:rPr>
          <w:rFonts w:ascii="Arial" w:cs="Arial" w:eastAsia="Arial" w:hAnsi="Arial"/>
          <w:sz w:val="15"/>
          <w:szCs w:val="15"/>
          <w:color w:val="1A475F"/>
        </w:rPr>
      </w:pPr>
    </w:p>
    <w:p>
      <w:pPr>
        <w:jc w:val="both"/>
        <w:ind w:left="1640" w:right="140" w:hanging="368"/>
        <w:spacing w:after="0" w:line="282" w:lineRule="auto"/>
        <w:tabs>
          <w:tab w:leader="none" w:pos="1640" w:val="left"/>
        </w:tabs>
        <w:numPr>
          <w:ilvl w:val="0"/>
          <w:numId w:val="42"/>
        </w:numPr>
        <w:rPr>
          <w:rFonts w:ascii="Arial" w:cs="Arial" w:eastAsia="Arial" w:hAnsi="Arial"/>
          <w:sz w:val="15"/>
          <w:szCs w:val="15"/>
          <w:color w:val="1A475F"/>
        </w:rPr>
      </w:pPr>
      <w:r>
        <w:rPr>
          <w:rFonts w:ascii="Arial" w:cs="Arial" w:eastAsia="Arial" w:hAnsi="Arial"/>
          <w:sz w:val="15"/>
          <w:szCs w:val="15"/>
          <w:color w:val="1A475F"/>
        </w:rPr>
        <w:t>Retained the range of bonus payouts applicable to the 50% portion of the annual bonus award tied to corporate performance, with bonus payouts ranging from 50-100% based on achievement of a percentage of targeted growth over 2024 performance.</w:t>
      </w:r>
    </w:p>
    <w:p>
      <w:pPr>
        <w:spacing w:after="0" w:line="46" w:lineRule="exact"/>
        <w:rPr>
          <w:rFonts w:ascii="Arial" w:cs="Arial" w:eastAsia="Arial" w:hAnsi="Arial"/>
          <w:sz w:val="15"/>
          <w:szCs w:val="15"/>
          <w:color w:val="1A475F"/>
        </w:rPr>
      </w:pPr>
    </w:p>
    <w:p>
      <w:pPr>
        <w:ind w:left="1640" w:right="80" w:hanging="368"/>
        <w:spacing w:after="0" w:line="282" w:lineRule="auto"/>
        <w:tabs>
          <w:tab w:leader="none" w:pos="1640" w:val="left"/>
        </w:tabs>
        <w:numPr>
          <w:ilvl w:val="0"/>
          <w:numId w:val="42"/>
        </w:numPr>
        <w:rPr>
          <w:rFonts w:ascii="Arial" w:cs="Arial" w:eastAsia="Arial" w:hAnsi="Arial"/>
          <w:sz w:val="15"/>
          <w:szCs w:val="15"/>
          <w:color w:val="1A475F"/>
        </w:rPr>
      </w:pPr>
      <w:r>
        <w:rPr>
          <w:rFonts w:ascii="Arial" w:cs="Arial" w:eastAsia="Arial" w:hAnsi="Arial"/>
          <w:sz w:val="15"/>
          <w:szCs w:val="15"/>
          <w:color w:val="1A475F"/>
        </w:rPr>
        <w:t>Maintained the structure of the LTIP program consistent with 2024 levels with each NEOs’ LTIP award composed of 25% stock options, 25% PRSUs and 50% RSUs by target value.</w:t>
      </w:r>
    </w:p>
    <w:p>
      <w:pPr>
        <w:spacing w:after="0" w:line="46" w:lineRule="exact"/>
        <w:rPr>
          <w:rFonts w:ascii="Arial" w:cs="Arial" w:eastAsia="Arial" w:hAnsi="Arial"/>
          <w:sz w:val="15"/>
          <w:szCs w:val="15"/>
          <w:color w:val="1A475F"/>
        </w:rPr>
      </w:pPr>
    </w:p>
    <w:p>
      <w:pPr>
        <w:ind w:left="1640" w:hanging="368"/>
        <w:spacing w:after="0"/>
        <w:tabs>
          <w:tab w:leader="none" w:pos="1640" w:val="left"/>
        </w:tabs>
        <w:numPr>
          <w:ilvl w:val="0"/>
          <w:numId w:val="42"/>
        </w:numPr>
        <w:rPr>
          <w:rFonts w:ascii="Arial" w:cs="Arial" w:eastAsia="Arial" w:hAnsi="Arial"/>
          <w:sz w:val="15"/>
          <w:szCs w:val="15"/>
          <w:color w:val="1A475F"/>
        </w:rPr>
      </w:pPr>
      <w:r>
        <w:rPr>
          <w:rFonts w:ascii="Arial" w:cs="Arial" w:eastAsia="Arial" w:hAnsi="Arial"/>
          <w:sz w:val="15"/>
          <w:szCs w:val="15"/>
          <w:color w:val="1A475F"/>
        </w:rPr>
        <w:t>Maintained equity award target values consistent with 2024 levels for all NEOs.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Key Compensation Changes for 2026</w:t>
      </w:r>
    </w:p>
    <w:p>
      <w:pPr>
        <w:spacing w:after="0" w:line="94" w:lineRule="exact"/>
        <w:rPr>
          <w:sz w:val="20"/>
          <w:szCs w:val="20"/>
          <w:color w:val="auto"/>
        </w:rPr>
      </w:pPr>
    </w:p>
    <w:p>
      <w:pPr>
        <w:ind w:left="900" w:right="80" w:firstLine="756"/>
        <w:spacing w:after="0" w:line="247" w:lineRule="auto"/>
        <w:rPr>
          <w:sz w:val="20"/>
          <w:szCs w:val="20"/>
          <w:color w:val="auto"/>
        </w:rPr>
      </w:pPr>
      <w:r>
        <w:rPr>
          <w:rFonts w:ascii="Arial" w:cs="Arial" w:eastAsia="Arial" w:hAnsi="Arial"/>
          <w:sz w:val="15"/>
          <w:szCs w:val="15"/>
          <w:color w:val="1A475F"/>
        </w:rPr>
        <w:t>During 2025, the Compensation Committee reviewed the Company’s overall compensation program and engaged an independent compensation consultant, Meridian Compensation Partners, LLC (“Meridian”), to review its LTIP to better understand current market practice for LTIP plans and to evaluate and review trends in executive compensation to ensure alignment with the market. In keeping with the Company’s overall compensation philosophy and with input from Meridian comprising reviews of general market studies as well as proprietary market data on total compensation, the Compensation Committee approved changes to the Company’s compensation program for 2026. The following key changes are intended to continue to incentivize and retain senior leaders, better align the composition and level of compensation with market practice, further align the interests of our executive officers with those of our shareholders by putting additional compensation at-risk, and further tie compensation to performance:</w:t>
      </w:r>
    </w:p>
    <w:p>
      <w:pPr>
        <w:spacing w:after="0" w:line="94"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33</w:t>
      </w:r>
    </w:p>
    <w:p>
      <w:pPr>
        <w:sectPr>
          <w:pgSz w:w="11900" w:h="16838" w:orient="portrait"/>
          <w:cols w:equalWidth="0" w:num="1">
            <w:col w:w="10340"/>
          </w:cols>
          <w:pgMar w:left="320" w:top="433" w:right="12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1640" w:right="240" w:hanging="368"/>
        <w:spacing w:after="0" w:line="282" w:lineRule="auto"/>
        <w:tabs>
          <w:tab w:leader="none" w:pos="1640" w:val="left"/>
        </w:tabs>
        <w:numPr>
          <w:ilvl w:val="0"/>
          <w:numId w:val="43"/>
        </w:numPr>
        <w:rPr>
          <w:rFonts w:ascii="Arial" w:cs="Arial" w:eastAsia="Arial" w:hAnsi="Arial"/>
          <w:sz w:val="15"/>
          <w:szCs w:val="15"/>
          <w:color w:val="1A475F"/>
        </w:rPr>
      </w:pPr>
      <w:r>
        <w:rPr>
          <w:rFonts w:ascii="Arial" w:cs="Arial" w:eastAsia="Arial" w:hAnsi="Arial"/>
          <w:sz w:val="15"/>
          <w:szCs w:val="15"/>
          <w:color w:val="1A475F"/>
        </w:rPr>
        <w:t>Revise the LTIP to increase the percentage of performance-based equity awards to be awarded to the Company’s executive officers and eliminated the award of stock options.</w:t>
      </w:r>
    </w:p>
    <w:p>
      <w:pPr>
        <w:spacing w:after="0" w:line="46" w:lineRule="exact"/>
        <w:rPr>
          <w:rFonts w:ascii="Arial" w:cs="Arial" w:eastAsia="Arial" w:hAnsi="Arial"/>
          <w:sz w:val="15"/>
          <w:szCs w:val="15"/>
          <w:color w:val="1A475F"/>
        </w:rPr>
      </w:pPr>
    </w:p>
    <w:p>
      <w:pPr>
        <w:ind w:left="2300" w:hanging="369"/>
        <w:spacing w:after="0"/>
        <w:tabs>
          <w:tab w:leader="none" w:pos="2300" w:val="left"/>
        </w:tabs>
        <w:numPr>
          <w:ilvl w:val="1"/>
          <w:numId w:val="43"/>
        </w:numPr>
        <w:rPr>
          <w:rFonts w:ascii="Arial" w:cs="Arial" w:eastAsia="Arial" w:hAnsi="Arial"/>
          <w:sz w:val="15"/>
          <w:szCs w:val="15"/>
          <w:color w:val="1A475F"/>
        </w:rPr>
      </w:pPr>
      <w:r>
        <w:rPr>
          <w:rFonts w:ascii="Arial" w:cs="Arial" w:eastAsia="Arial" w:hAnsi="Arial"/>
          <w:sz w:val="15"/>
          <w:szCs w:val="15"/>
          <w:color w:val="1A475F"/>
        </w:rPr>
        <w:t>Each executive officer’s LTIP award will be comprised 50% (up from 25%) of PRSUs and 50% RSUs.</w:t>
      </w:r>
    </w:p>
    <w:p>
      <w:pPr>
        <w:spacing w:after="0" w:line="105" w:lineRule="exact"/>
        <w:rPr>
          <w:rFonts w:ascii="Arial" w:cs="Arial" w:eastAsia="Arial" w:hAnsi="Arial"/>
          <w:sz w:val="15"/>
          <w:szCs w:val="15"/>
          <w:color w:val="1A475F"/>
        </w:rPr>
      </w:pPr>
    </w:p>
    <w:p>
      <w:pPr>
        <w:ind w:left="1640" w:right="40" w:hanging="368"/>
        <w:spacing w:after="0" w:line="261" w:lineRule="auto"/>
        <w:tabs>
          <w:tab w:leader="none" w:pos="1640" w:val="left"/>
        </w:tabs>
        <w:numPr>
          <w:ilvl w:val="0"/>
          <w:numId w:val="43"/>
        </w:numPr>
        <w:rPr>
          <w:rFonts w:ascii="Arial" w:cs="Arial" w:eastAsia="Arial" w:hAnsi="Arial"/>
          <w:sz w:val="15"/>
          <w:szCs w:val="15"/>
          <w:color w:val="1A475F"/>
        </w:rPr>
      </w:pPr>
      <w:r>
        <w:rPr>
          <w:rFonts w:ascii="Arial" w:cs="Arial" w:eastAsia="Arial" w:hAnsi="Arial"/>
          <w:sz w:val="15"/>
          <w:szCs w:val="15"/>
          <w:color w:val="1A475F"/>
        </w:rPr>
        <w:t>Maintain approximate target equity award values for all NEOs with the following exceptions: (1) an increase in the target total LTIP award for Mr. Kramer to $5,000,000 (from $3,500,000) and (2) an increase in the target total LTIP award for Ms. Boland to $1,500,000 (from $1,100,000), each to better align with market practice.</w:t>
      </w:r>
    </w:p>
    <w:p>
      <w:pPr>
        <w:spacing w:after="0" w:line="62" w:lineRule="exact"/>
        <w:rPr>
          <w:rFonts w:ascii="Arial" w:cs="Arial" w:eastAsia="Arial" w:hAnsi="Arial"/>
          <w:sz w:val="15"/>
          <w:szCs w:val="15"/>
          <w:color w:val="1A475F"/>
        </w:rPr>
      </w:pPr>
    </w:p>
    <w:p>
      <w:pPr>
        <w:ind w:left="1640" w:hanging="368"/>
        <w:spacing w:after="0" w:line="282" w:lineRule="auto"/>
        <w:tabs>
          <w:tab w:leader="none" w:pos="1640" w:val="left"/>
        </w:tabs>
        <w:numPr>
          <w:ilvl w:val="0"/>
          <w:numId w:val="43"/>
        </w:numPr>
        <w:rPr>
          <w:rFonts w:ascii="Arial" w:cs="Arial" w:eastAsia="Arial" w:hAnsi="Arial"/>
          <w:sz w:val="15"/>
          <w:szCs w:val="15"/>
          <w:color w:val="1A475F"/>
        </w:rPr>
      </w:pPr>
      <w:r>
        <w:rPr>
          <w:rFonts w:ascii="Arial" w:cs="Arial" w:eastAsia="Arial" w:hAnsi="Arial"/>
          <w:sz w:val="15"/>
          <w:szCs w:val="15"/>
          <w:color w:val="1A475F"/>
        </w:rPr>
        <w:t>Maintain the standard 3.5% salary adjustments for certain NEOs, with total adjustments for Mses. Berman and Burke of 9% and Ms. Boland of 16%, each to reflect market insights.</w:t>
      </w:r>
    </w:p>
    <w:p>
      <w:pPr>
        <w:spacing w:after="0" w:line="46" w:lineRule="exact"/>
        <w:rPr>
          <w:rFonts w:ascii="Arial" w:cs="Arial" w:eastAsia="Arial" w:hAnsi="Arial"/>
          <w:sz w:val="15"/>
          <w:szCs w:val="15"/>
          <w:color w:val="1A475F"/>
        </w:rPr>
      </w:pPr>
    </w:p>
    <w:p>
      <w:pPr>
        <w:ind w:left="1640" w:right="680" w:hanging="368"/>
        <w:spacing w:after="0" w:line="282" w:lineRule="auto"/>
        <w:tabs>
          <w:tab w:leader="none" w:pos="1640" w:val="left"/>
        </w:tabs>
        <w:numPr>
          <w:ilvl w:val="0"/>
          <w:numId w:val="43"/>
        </w:numPr>
        <w:rPr>
          <w:rFonts w:ascii="Arial" w:cs="Arial" w:eastAsia="Arial" w:hAnsi="Arial"/>
          <w:sz w:val="15"/>
          <w:szCs w:val="15"/>
          <w:color w:val="1A475F"/>
        </w:rPr>
      </w:pPr>
      <w:r>
        <w:rPr>
          <w:rFonts w:ascii="Arial" w:cs="Arial" w:eastAsia="Arial" w:hAnsi="Arial"/>
          <w:sz w:val="15"/>
          <w:szCs w:val="15"/>
          <w:color w:val="1A475F"/>
        </w:rPr>
        <w:t>Maintain the target annual bonus opportunity consistent with 2025 levels for all NEOs and the range of bonus payouts applicable to the 50% portion of the annual bonus award tied to corporate performance.</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Compensation and Governance Best Practices</w:t>
      </w:r>
    </w:p>
    <w:p>
      <w:pPr>
        <w:spacing w:after="0" w:line="94" w:lineRule="exact"/>
        <w:rPr>
          <w:sz w:val="20"/>
          <w:szCs w:val="20"/>
          <w:color w:val="auto"/>
        </w:rPr>
      </w:pPr>
    </w:p>
    <w:p>
      <w:pPr>
        <w:ind w:left="900" w:right="480" w:firstLine="756"/>
        <w:spacing w:after="0" w:line="282" w:lineRule="auto"/>
        <w:rPr>
          <w:sz w:val="20"/>
          <w:szCs w:val="20"/>
          <w:color w:val="auto"/>
        </w:rPr>
      </w:pPr>
      <w:r>
        <w:rPr>
          <w:rFonts w:ascii="Arial" w:cs="Arial" w:eastAsia="Arial" w:hAnsi="Arial"/>
          <w:sz w:val="15"/>
          <w:szCs w:val="15"/>
          <w:color w:val="1A475F"/>
        </w:rPr>
        <w:t>Our executive compensation program includes a number of compensation practices intended to promote good corporate governance and align the interests of management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104775</wp:posOffset>
            </wp:positionV>
            <wp:extent cx="5997575" cy="147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97575" cy="147320"/>
                    </a:xfrm>
                    <a:prstGeom prst="rect">
                      <a:avLst/>
                    </a:prstGeom>
                    <a:noFill/>
                  </pic:spPr>
                </pic:pic>
              </a:graphicData>
            </a:graphic>
          </wp:anchor>
        </w:drawing>
      </w:r>
    </w:p>
    <w:p>
      <w:pPr>
        <w:sectPr>
          <w:pgSz w:w="11900" w:h="16838" w:orient="portrait"/>
          <w:cols w:equalWidth="0" w:num="1">
            <w:col w:w="10340"/>
          </w:cols>
          <w:pgMar w:left="320" w:top="434" w:right="1239" w:bottom="1440" w:gutter="0" w:footer="0" w:header="0"/>
        </w:sectPr>
      </w:pPr>
    </w:p>
    <w:p>
      <w:pPr>
        <w:spacing w:after="0" w:line="222" w:lineRule="exact"/>
        <w:rPr>
          <w:sz w:val="20"/>
          <w:szCs w:val="20"/>
          <w:color w:val="auto"/>
        </w:rPr>
      </w:pPr>
    </w:p>
    <w:p>
      <w:pPr>
        <w:ind w:left="2820"/>
        <w:spacing w:after="0"/>
        <w:rPr>
          <w:sz w:val="20"/>
          <w:szCs w:val="20"/>
          <w:color w:val="auto"/>
        </w:rPr>
      </w:pPr>
      <w:r>
        <w:rPr>
          <w:rFonts w:ascii="Arial" w:cs="Arial" w:eastAsia="Arial" w:hAnsi="Arial"/>
          <w:sz w:val="14"/>
          <w:szCs w:val="14"/>
          <w:b w:val="1"/>
          <w:bCs w:val="1"/>
          <w:color w:val="1A475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8255</wp:posOffset>
            </wp:positionV>
            <wp:extent cx="294005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40050" cy="7620"/>
                    </a:xfrm>
                    <a:prstGeom prst="rect">
                      <a:avLst/>
                    </a:prstGeom>
                    <a:noFill/>
                  </pic:spPr>
                </pic:pic>
              </a:graphicData>
            </a:graphic>
          </wp:anchor>
        </w:drawing>
      </w:r>
    </w:p>
    <w:p>
      <w:pPr>
        <w:spacing w:after="0" w:line="11" w:lineRule="exact"/>
        <w:rPr>
          <w:sz w:val="20"/>
          <w:szCs w:val="20"/>
          <w:color w:val="auto"/>
        </w:rPr>
      </w:pPr>
    </w:p>
    <w:p>
      <w:pPr>
        <w:ind w:left="1280" w:right="20" w:hanging="379"/>
        <w:spacing w:after="0" w:line="187" w:lineRule="exact"/>
        <w:tabs>
          <w:tab w:leader="none" w:pos="968" w:val="left"/>
        </w:tabs>
        <w:numPr>
          <w:ilvl w:val="0"/>
          <w:numId w:val="44"/>
        </w:numPr>
        <w:rPr>
          <w:rFonts w:ascii="Arial" w:cs="Arial" w:eastAsia="Arial" w:hAnsi="Arial"/>
          <w:sz w:val="13"/>
          <w:szCs w:val="13"/>
          <w:b w:val="1"/>
          <w:bCs w:val="1"/>
          <w:color w:val="1A475F"/>
        </w:rPr>
      </w:pPr>
      <w:r>
        <w:rPr>
          <w:rFonts w:ascii="MS PGothic" w:cs="MS PGothic" w:eastAsia="MS PGothic" w:hAnsi="MS PGothic"/>
          <w:sz w:val="13"/>
          <w:szCs w:val="13"/>
          <w:color w:val="1A475F"/>
        </w:rPr>
        <w:t>☑</w:t>
      </w:r>
      <w:r>
        <w:rPr>
          <w:rFonts w:ascii="Arial" w:cs="Arial" w:eastAsia="Arial" w:hAnsi="Arial"/>
          <w:sz w:val="13"/>
          <w:szCs w:val="13"/>
          <w:b w:val="1"/>
          <w:bCs w:val="1"/>
          <w:color w:val="1A475F"/>
        </w:rPr>
        <w:t xml:space="preserve"> Limit incentive compensation</w:t>
      </w:r>
      <w:r>
        <w:rPr>
          <w:rFonts w:ascii="Arial" w:cs="Arial" w:eastAsia="Arial" w:hAnsi="Arial"/>
          <w:sz w:val="13"/>
          <w:szCs w:val="13"/>
          <w:color w:val="1A475F"/>
        </w:rPr>
        <w:t>—a 3x cap on the maximum payout</w:t>
      </w:r>
      <w:r>
        <w:rPr>
          <w:rFonts w:ascii="Arial" w:cs="Arial" w:eastAsia="Arial" w:hAnsi="Arial"/>
          <w:sz w:val="13"/>
          <w:szCs w:val="13"/>
          <w:b w:val="1"/>
          <w:bCs w:val="1"/>
          <w:color w:val="1A475F"/>
        </w:rPr>
        <w:t xml:space="preserve"> </w:t>
      </w:r>
      <w:r>
        <w:rPr>
          <w:rFonts w:ascii="Arial" w:cs="Arial" w:eastAsia="Arial" w:hAnsi="Arial"/>
          <w:sz w:val="13"/>
          <w:szCs w:val="13"/>
          <w:color w:val="1A475F"/>
        </w:rPr>
        <w:t>of the portion of annual cash bonuses tied to Company performance.</w:t>
      </w:r>
    </w:p>
    <w:p>
      <w:pPr>
        <w:spacing w:after="0" w:line="5" w:lineRule="exact"/>
        <w:rPr>
          <w:rFonts w:ascii="Arial" w:cs="Arial" w:eastAsia="Arial" w:hAnsi="Arial"/>
          <w:sz w:val="13"/>
          <w:szCs w:val="13"/>
          <w:b w:val="1"/>
          <w:bCs w:val="1"/>
          <w:color w:val="1A475F"/>
        </w:rPr>
      </w:pPr>
    </w:p>
    <w:p>
      <w:pPr>
        <w:ind w:left="1280" w:right="180" w:hanging="379"/>
        <w:spacing w:after="0" w:line="180" w:lineRule="exact"/>
        <w:tabs>
          <w:tab w:leader="none" w:pos="968" w:val="left"/>
        </w:tabs>
        <w:numPr>
          <w:ilvl w:val="0"/>
          <w:numId w:val="44"/>
        </w:numPr>
        <w:rPr>
          <w:rFonts w:ascii="Arial" w:cs="Arial" w:eastAsia="Arial" w:hAnsi="Arial"/>
          <w:sz w:val="13"/>
          <w:szCs w:val="13"/>
          <w:b w:val="1"/>
          <w:bCs w:val="1"/>
          <w:color w:val="1A475F"/>
        </w:rPr>
      </w:pPr>
      <w:r>
        <w:rPr>
          <w:rFonts w:ascii="MS PGothic" w:cs="MS PGothic" w:eastAsia="MS PGothic" w:hAnsi="MS PGothic"/>
          <w:sz w:val="13"/>
          <w:szCs w:val="13"/>
          <w:color w:val="1A475F"/>
        </w:rPr>
        <w:t>☑</w:t>
      </w:r>
      <w:r>
        <w:rPr>
          <w:rFonts w:ascii="Arial" w:cs="Arial" w:eastAsia="Arial" w:hAnsi="Arial"/>
          <w:sz w:val="13"/>
          <w:szCs w:val="13"/>
          <w:b w:val="1"/>
          <w:bCs w:val="1"/>
          <w:color w:val="1A475F"/>
        </w:rPr>
        <w:t xml:space="preserve"> Maintain stock ownership guidelines</w:t>
      </w:r>
      <w:r>
        <w:rPr>
          <w:rFonts w:ascii="Arial" w:cs="Arial" w:eastAsia="Arial" w:hAnsi="Arial"/>
          <w:sz w:val="13"/>
          <w:szCs w:val="13"/>
          <w:color w:val="1A475F"/>
        </w:rPr>
        <w:t>—we have robust stock</w:t>
      </w:r>
      <w:r>
        <w:rPr>
          <w:rFonts w:ascii="Arial" w:cs="Arial" w:eastAsia="Arial" w:hAnsi="Arial"/>
          <w:sz w:val="13"/>
          <w:szCs w:val="13"/>
          <w:b w:val="1"/>
          <w:bCs w:val="1"/>
          <w:color w:val="1A475F"/>
        </w:rPr>
        <w:t xml:space="preserve"> </w:t>
      </w:r>
      <w:r>
        <w:rPr>
          <w:rFonts w:ascii="Arial" w:cs="Arial" w:eastAsia="Arial" w:hAnsi="Arial"/>
          <w:sz w:val="13"/>
          <w:szCs w:val="13"/>
          <w:color w:val="1A475F"/>
        </w:rPr>
        <w:t>ownership guidelines for directors, our Chief Executive Officer and our other NEOs.</w:t>
      </w:r>
    </w:p>
    <w:p>
      <w:pPr>
        <w:spacing w:after="0" w:line="5" w:lineRule="exact"/>
        <w:rPr>
          <w:rFonts w:ascii="Arial" w:cs="Arial" w:eastAsia="Arial" w:hAnsi="Arial"/>
          <w:sz w:val="13"/>
          <w:szCs w:val="13"/>
          <w:b w:val="1"/>
          <w:bCs w:val="1"/>
          <w:color w:val="1A475F"/>
        </w:rPr>
      </w:pPr>
    </w:p>
    <w:p>
      <w:pPr>
        <w:ind w:left="1280" w:right="180" w:hanging="379"/>
        <w:spacing w:after="0" w:line="176" w:lineRule="exact"/>
        <w:tabs>
          <w:tab w:leader="none" w:pos="968" w:val="left"/>
        </w:tabs>
        <w:numPr>
          <w:ilvl w:val="0"/>
          <w:numId w:val="44"/>
        </w:numPr>
        <w:rPr>
          <w:rFonts w:ascii="Arial" w:cs="Arial" w:eastAsia="Arial" w:hAnsi="Arial"/>
          <w:sz w:val="13"/>
          <w:szCs w:val="13"/>
          <w:b w:val="1"/>
          <w:bCs w:val="1"/>
          <w:color w:val="1A475F"/>
        </w:rPr>
      </w:pPr>
      <w:r>
        <w:rPr>
          <w:rFonts w:ascii="MS PGothic" w:cs="MS PGothic" w:eastAsia="MS PGothic" w:hAnsi="MS PGothic"/>
          <w:sz w:val="13"/>
          <w:szCs w:val="13"/>
          <w:color w:val="1A475F"/>
        </w:rPr>
        <w:t>☑</w:t>
      </w:r>
      <w:r>
        <w:rPr>
          <w:rFonts w:ascii="Arial" w:cs="Arial" w:eastAsia="Arial" w:hAnsi="Arial"/>
          <w:sz w:val="13"/>
          <w:szCs w:val="13"/>
          <w:b w:val="1"/>
          <w:bCs w:val="1"/>
          <w:color w:val="1A475F"/>
        </w:rPr>
        <w:t xml:space="preserve"> Set challenging performance goals</w:t>
      </w:r>
      <w:r>
        <w:rPr>
          <w:rFonts w:ascii="Arial" w:cs="Arial" w:eastAsia="Arial" w:hAnsi="Arial"/>
          <w:sz w:val="13"/>
          <w:szCs w:val="13"/>
          <w:color w:val="1A475F"/>
        </w:rPr>
        <w:t>—we set rigorous corporate</w:t>
      </w:r>
      <w:r>
        <w:rPr>
          <w:rFonts w:ascii="Arial" w:cs="Arial" w:eastAsia="Arial" w:hAnsi="Arial"/>
          <w:sz w:val="13"/>
          <w:szCs w:val="13"/>
          <w:b w:val="1"/>
          <w:bCs w:val="1"/>
          <w:color w:val="1A475F"/>
        </w:rPr>
        <w:t xml:space="preserve"> </w:t>
      </w:r>
      <w:r>
        <w:rPr>
          <w:rFonts w:ascii="Arial" w:cs="Arial" w:eastAsia="Arial" w:hAnsi="Arial"/>
          <w:sz w:val="13"/>
          <w:szCs w:val="13"/>
          <w:color w:val="1A475F"/>
        </w:rPr>
        <w:t>performance targets for our annual incentive bonuses and PRSUs that we believe motivate our executives to deliver value to our shareholders.</w:t>
      </w:r>
    </w:p>
    <w:p>
      <w:pPr>
        <w:spacing w:after="0" w:line="5" w:lineRule="exact"/>
        <w:rPr>
          <w:rFonts w:ascii="Arial" w:cs="Arial" w:eastAsia="Arial" w:hAnsi="Arial"/>
          <w:sz w:val="13"/>
          <w:szCs w:val="13"/>
          <w:b w:val="1"/>
          <w:bCs w:val="1"/>
          <w:color w:val="1A475F"/>
        </w:rPr>
      </w:pPr>
    </w:p>
    <w:p>
      <w:pPr>
        <w:ind w:left="1280" w:right="40" w:hanging="379"/>
        <w:spacing w:after="0" w:line="216" w:lineRule="exact"/>
        <w:tabs>
          <w:tab w:leader="none" w:pos="968" w:val="left"/>
        </w:tabs>
        <w:numPr>
          <w:ilvl w:val="0"/>
          <w:numId w:val="44"/>
        </w:numPr>
        <w:rPr>
          <w:rFonts w:ascii="Arial" w:cs="Arial" w:eastAsia="Arial" w:hAnsi="Arial"/>
          <w:sz w:val="13"/>
          <w:szCs w:val="13"/>
          <w:b w:val="1"/>
          <w:bCs w:val="1"/>
          <w:color w:val="1A475F"/>
        </w:rPr>
      </w:pPr>
      <w:r>
        <w:rPr>
          <w:rFonts w:ascii="MS PGothic" w:cs="MS PGothic" w:eastAsia="MS PGothic" w:hAnsi="MS PGothic"/>
          <w:sz w:val="13"/>
          <w:szCs w:val="13"/>
          <w:color w:val="1A475F"/>
        </w:rPr>
        <w:t>☑</w:t>
      </w:r>
      <w:r>
        <w:rPr>
          <w:rFonts w:ascii="Arial" w:cs="Arial" w:eastAsia="Arial" w:hAnsi="Arial"/>
          <w:sz w:val="13"/>
          <w:szCs w:val="13"/>
          <w:b w:val="1"/>
          <w:bCs w:val="1"/>
          <w:color w:val="1A475F"/>
        </w:rPr>
        <w:t xml:space="preserve"> Grant performance-based equity and tie incentive compensation to achievement of financial performance metrics </w:t>
      </w:r>
      <w:r>
        <w:rPr>
          <w:rFonts w:ascii="Arial" w:cs="Arial" w:eastAsia="Arial" w:hAnsi="Arial"/>
          <w:sz w:val="13"/>
          <w:szCs w:val="13"/>
          <w:color w:val="1A475F"/>
        </w:rPr>
        <w:t>—maintain a pay mix weighted to performance-based compensation with both PRSUs and 50% of annual bonus tied to company performance.</w:t>
      </w:r>
    </w:p>
    <w:p>
      <w:pPr>
        <w:spacing w:after="0" w:line="6" w:lineRule="exact"/>
        <w:rPr>
          <w:rFonts w:ascii="Arial" w:cs="Arial" w:eastAsia="Arial" w:hAnsi="Arial"/>
          <w:sz w:val="13"/>
          <w:szCs w:val="13"/>
          <w:b w:val="1"/>
          <w:bCs w:val="1"/>
          <w:color w:val="1A475F"/>
        </w:rPr>
      </w:pPr>
    </w:p>
    <w:p>
      <w:pPr>
        <w:ind w:left="1280" w:right="20" w:hanging="379"/>
        <w:spacing w:after="0" w:line="180" w:lineRule="exact"/>
        <w:tabs>
          <w:tab w:leader="none" w:pos="968" w:val="left"/>
        </w:tabs>
        <w:numPr>
          <w:ilvl w:val="0"/>
          <w:numId w:val="44"/>
        </w:numPr>
        <w:rPr>
          <w:rFonts w:ascii="Arial" w:cs="Arial" w:eastAsia="Arial" w:hAnsi="Arial"/>
          <w:sz w:val="13"/>
          <w:szCs w:val="13"/>
          <w:b w:val="1"/>
          <w:bCs w:val="1"/>
          <w:color w:val="1A475F"/>
        </w:rPr>
      </w:pPr>
      <w:r>
        <w:rPr>
          <w:rFonts w:ascii="MS PGothic" w:cs="MS PGothic" w:eastAsia="MS PGothic" w:hAnsi="MS PGothic"/>
          <w:sz w:val="13"/>
          <w:szCs w:val="13"/>
          <w:color w:val="1A475F"/>
        </w:rPr>
        <w:t>☑</w:t>
      </w:r>
      <w:r>
        <w:rPr>
          <w:rFonts w:ascii="Arial" w:cs="Arial" w:eastAsia="Arial" w:hAnsi="Arial"/>
          <w:sz w:val="13"/>
          <w:szCs w:val="13"/>
          <w:b w:val="1"/>
          <w:bCs w:val="1"/>
          <w:color w:val="1A475F"/>
        </w:rPr>
        <w:t xml:space="preserve"> Minimum vesting requirement</w:t>
      </w:r>
      <w:r>
        <w:rPr>
          <w:rFonts w:ascii="Arial" w:cs="Arial" w:eastAsia="Arial" w:hAnsi="Arial"/>
          <w:sz w:val="13"/>
          <w:szCs w:val="13"/>
          <w:color w:val="1A475F"/>
        </w:rPr>
        <w:t>—awards granted under the Equity</w:t>
      </w:r>
      <w:r>
        <w:rPr>
          <w:rFonts w:ascii="Arial" w:cs="Arial" w:eastAsia="Arial" w:hAnsi="Arial"/>
          <w:sz w:val="13"/>
          <w:szCs w:val="13"/>
          <w:b w:val="1"/>
          <w:bCs w:val="1"/>
          <w:color w:val="1A475F"/>
        </w:rPr>
        <w:t xml:space="preserve"> </w:t>
      </w:r>
      <w:r>
        <w:rPr>
          <w:rFonts w:ascii="Arial" w:cs="Arial" w:eastAsia="Arial" w:hAnsi="Arial"/>
          <w:sz w:val="13"/>
          <w:szCs w:val="13"/>
          <w:color w:val="1A475F"/>
        </w:rPr>
        <w:t>Plan have a one-year minimum vesting requirement (subject to a 5% carve-out).</w:t>
      </w:r>
    </w:p>
    <w:p>
      <w:pPr>
        <w:spacing w:after="0" w:line="5" w:lineRule="exact"/>
        <w:rPr>
          <w:rFonts w:ascii="Arial" w:cs="Arial" w:eastAsia="Arial" w:hAnsi="Arial"/>
          <w:sz w:val="13"/>
          <w:szCs w:val="13"/>
          <w:b w:val="1"/>
          <w:bCs w:val="1"/>
          <w:color w:val="1A475F"/>
        </w:rPr>
      </w:pPr>
    </w:p>
    <w:p>
      <w:pPr>
        <w:ind w:left="1280" w:right="280" w:hanging="379"/>
        <w:spacing w:after="0" w:line="176" w:lineRule="exact"/>
        <w:tabs>
          <w:tab w:leader="none" w:pos="968" w:val="left"/>
        </w:tabs>
        <w:numPr>
          <w:ilvl w:val="0"/>
          <w:numId w:val="44"/>
        </w:numPr>
        <w:rPr>
          <w:rFonts w:ascii="Arial" w:cs="Arial" w:eastAsia="Arial" w:hAnsi="Arial"/>
          <w:sz w:val="13"/>
          <w:szCs w:val="13"/>
          <w:b w:val="1"/>
          <w:bCs w:val="1"/>
          <w:color w:val="1A475F"/>
        </w:rPr>
      </w:pPr>
      <w:r>
        <w:rPr>
          <w:rFonts w:ascii="MS PGothic" w:cs="MS PGothic" w:eastAsia="MS PGothic" w:hAnsi="MS PGothic"/>
          <w:sz w:val="13"/>
          <w:szCs w:val="13"/>
          <w:color w:val="1A475F"/>
        </w:rPr>
        <w:t>☑</w:t>
      </w:r>
      <w:r>
        <w:rPr>
          <w:rFonts w:ascii="Arial" w:cs="Arial" w:eastAsia="Arial" w:hAnsi="Arial"/>
          <w:sz w:val="13"/>
          <w:szCs w:val="13"/>
          <w:b w:val="1"/>
          <w:bCs w:val="1"/>
          <w:color w:val="1A475F"/>
        </w:rPr>
        <w:t xml:space="preserve"> Clawback policy</w:t>
      </w:r>
      <w:r>
        <w:rPr>
          <w:rFonts w:ascii="Arial" w:cs="Arial" w:eastAsia="Arial" w:hAnsi="Arial"/>
          <w:sz w:val="13"/>
          <w:szCs w:val="13"/>
          <w:color w:val="1A475F"/>
        </w:rPr>
        <w:t>—provide for mandatory recoupment of</w:t>
      </w:r>
      <w:r>
        <w:rPr>
          <w:rFonts w:ascii="Arial" w:cs="Arial" w:eastAsia="Arial" w:hAnsi="Arial"/>
          <w:sz w:val="13"/>
          <w:szCs w:val="13"/>
          <w:b w:val="1"/>
          <w:bCs w:val="1"/>
          <w:color w:val="1A475F"/>
        </w:rPr>
        <w:t xml:space="preserve"> </w:t>
      </w:r>
      <w:r>
        <w:rPr>
          <w:rFonts w:ascii="Arial" w:cs="Arial" w:eastAsia="Arial" w:hAnsi="Arial"/>
          <w:sz w:val="13"/>
          <w:szCs w:val="13"/>
          <w:color w:val="1A475F"/>
        </w:rPr>
        <w:t>erroneously awarded incentive-based compensation received by covered current and former executive officers in the event of an accounting restatement.</w:t>
      </w:r>
    </w:p>
    <w:p>
      <w:pPr>
        <w:spacing w:after="0" w:line="5" w:lineRule="exact"/>
        <w:rPr>
          <w:rFonts w:ascii="Arial" w:cs="Arial" w:eastAsia="Arial" w:hAnsi="Arial"/>
          <w:sz w:val="13"/>
          <w:szCs w:val="13"/>
          <w:b w:val="1"/>
          <w:bCs w:val="1"/>
          <w:color w:val="1A475F"/>
        </w:rPr>
      </w:pPr>
    </w:p>
    <w:p>
      <w:pPr>
        <w:ind w:left="1280" w:hanging="379"/>
        <w:spacing w:after="0" w:line="180" w:lineRule="exact"/>
        <w:tabs>
          <w:tab w:leader="none" w:pos="968" w:val="left"/>
        </w:tabs>
        <w:numPr>
          <w:ilvl w:val="0"/>
          <w:numId w:val="44"/>
        </w:numPr>
        <w:rPr>
          <w:rFonts w:ascii="Arial" w:cs="Arial" w:eastAsia="Arial" w:hAnsi="Arial"/>
          <w:sz w:val="13"/>
          <w:szCs w:val="13"/>
          <w:b w:val="1"/>
          <w:bCs w:val="1"/>
          <w:color w:val="1A475F"/>
        </w:rPr>
      </w:pPr>
      <w:r>
        <w:rPr>
          <w:rFonts w:ascii="MS PGothic" w:cs="MS PGothic" w:eastAsia="MS PGothic" w:hAnsi="MS PGothic"/>
          <w:sz w:val="13"/>
          <w:szCs w:val="13"/>
          <w:color w:val="1A475F"/>
        </w:rPr>
        <w:t>☑</w:t>
      </w:r>
      <w:r>
        <w:rPr>
          <w:rFonts w:ascii="Arial" w:cs="Arial" w:eastAsia="Arial" w:hAnsi="Arial"/>
          <w:sz w:val="13"/>
          <w:szCs w:val="13"/>
          <w:b w:val="1"/>
          <w:bCs w:val="1"/>
          <w:color w:val="1A475F"/>
        </w:rPr>
        <w:t xml:space="preserve"> Limits on non-employee director compensation</w:t>
      </w:r>
      <w:r>
        <w:rPr>
          <w:rFonts w:ascii="Arial" w:cs="Arial" w:eastAsia="Arial" w:hAnsi="Arial"/>
          <w:sz w:val="13"/>
          <w:szCs w:val="13"/>
          <w:color w:val="1A475F"/>
        </w:rPr>
        <w:t>—our Equity Plan</w:t>
      </w:r>
      <w:r>
        <w:rPr>
          <w:rFonts w:ascii="Arial" w:cs="Arial" w:eastAsia="Arial" w:hAnsi="Arial"/>
          <w:sz w:val="13"/>
          <w:szCs w:val="13"/>
          <w:b w:val="1"/>
          <w:bCs w:val="1"/>
          <w:color w:val="1A475F"/>
        </w:rPr>
        <w:t xml:space="preserve"> </w:t>
      </w:r>
      <w:r>
        <w:rPr>
          <w:rFonts w:ascii="Arial" w:cs="Arial" w:eastAsia="Arial" w:hAnsi="Arial"/>
          <w:sz w:val="13"/>
          <w:szCs w:val="13"/>
          <w:color w:val="1A475F"/>
        </w:rPr>
        <w:t>contains a separate limit on the value of equity awards and cash fees that may be awarded annually to non-employee directors.</w:t>
      </w:r>
    </w:p>
    <w:p>
      <w:pPr>
        <w:spacing w:after="0" w:line="5" w:lineRule="exact"/>
        <w:rPr>
          <w:rFonts w:ascii="Arial" w:cs="Arial" w:eastAsia="Arial" w:hAnsi="Arial"/>
          <w:sz w:val="13"/>
          <w:szCs w:val="13"/>
          <w:b w:val="1"/>
          <w:bCs w:val="1"/>
          <w:color w:val="1A475F"/>
        </w:rPr>
      </w:pPr>
    </w:p>
    <w:p>
      <w:pPr>
        <w:ind w:left="1280" w:right="100" w:hanging="379"/>
        <w:spacing w:after="0" w:line="189" w:lineRule="exact"/>
        <w:tabs>
          <w:tab w:leader="none" w:pos="968" w:val="left"/>
        </w:tabs>
        <w:numPr>
          <w:ilvl w:val="0"/>
          <w:numId w:val="44"/>
        </w:numPr>
        <w:rPr>
          <w:rFonts w:ascii="Arial" w:cs="Arial" w:eastAsia="Arial" w:hAnsi="Arial"/>
          <w:sz w:val="13"/>
          <w:szCs w:val="13"/>
          <w:b w:val="1"/>
          <w:bCs w:val="1"/>
          <w:color w:val="1A475F"/>
        </w:rPr>
      </w:pPr>
      <w:r>
        <w:rPr>
          <w:rFonts w:ascii="MS PGothic" w:cs="MS PGothic" w:eastAsia="MS PGothic" w:hAnsi="MS PGothic"/>
          <w:sz w:val="13"/>
          <w:szCs w:val="13"/>
          <w:color w:val="1A475F"/>
        </w:rPr>
        <w:t>☑</w:t>
      </w:r>
      <w:r>
        <w:rPr>
          <w:rFonts w:ascii="Arial" w:cs="Arial" w:eastAsia="Arial" w:hAnsi="Arial"/>
          <w:sz w:val="13"/>
          <w:szCs w:val="13"/>
          <w:b w:val="1"/>
          <w:bCs w:val="1"/>
          <w:color w:val="1A475F"/>
        </w:rPr>
        <w:t xml:space="preserve"> Pre-established equity grant practices</w:t>
      </w:r>
      <w:r>
        <w:rPr>
          <w:rFonts w:ascii="Arial" w:cs="Arial" w:eastAsia="Arial" w:hAnsi="Arial"/>
          <w:sz w:val="13"/>
          <w:szCs w:val="13"/>
          <w:color w:val="1A475F"/>
        </w:rPr>
        <w:t>—equity awards are</w:t>
      </w:r>
      <w:r>
        <w:rPr>
          <w:rFonts w:ascii="Arial" w:cs="Arial" w:eastAsia="Arial" w:hAnsi="Arial"/>
          <w:sz w:val="13"/>
          <w:szCs w:val="13"/>
          <w:b w:val="1"/>
          <w:bCs w:val="1"/>
          <w:color w:val="1A475F"/>
        </w:rPr>
        <w:t xml:space="preserve"> </w:t>
      </w:r>
      <w:r>
        <w:rPr>
          <w:rFonts w:ascii="Arial" w:cs="Arial" w:eastAsia="Arial" w:hAnsi="Arial"/>
          <w:sz w:val="13"/>
          <w:szCs w:val="13"/>
          <w:color w:val="1A475F"/>
        </w:rPr>
        <w:t>granted on a set schedule and we do not consider material non-public information in determining the timing and terms of equity awards.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1683"/>
        <w:spacing w:after="0"/>
        <w:rPr>
          <w:sz w:val="20"/>
          <w:szCs w:val="20"/>
          <w:color w:val="auto"/>
        </w:rPr>
      </w:pPr>
      <w:r>
        <w:rPr>
          <w:rFonts w:ascii="Arial" w:cs="Arial" w:eastAsia="Arial" w:hAnsi="Arial"/>
          <w:sz w:val="14"/>
          <w:szCs w:val="14"/>
          <w:b w:val="1"/>
          <w:bCs w:val="1"/>
          <w:color w:val="1A475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8255</wp:posOffset>
            </wp:positionV>
            <wp:extent cx="299910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99105" cy="7620"/>
                    </a:xfrm>
                    <a:prstGeom prst="rect">
                      <a:avLst/>
                    </a:prstGeom>
                    <a:noFill/>
                  </pic:spPr>
                </pic:pic>
              </a:graphicData>
            </a:graphic>
          </wp:anchor>
        </w:drawing>
      </w:r>
    </w:p>
    <w:p>
      <w:pPr>
        <w:spacing w:after="0" w:line="11" w:lineRule="exact"/>
        <w:rPr>
          <w:sz w:val="20"/>
          <w:szCs w:val="20"/>
          <w:color w:val="auto"/>
        </w:rPr>
      </w:pPr>
    </w:p>
    <w:p>
      <w:pPr>
        <w:ind w:left="383" w:right="600" w:hanging="383"/>
        <w:spacing w:after="0" w:line="187" w:lineRule="exact"/>
        <w:tabs>
          <w:tab w:leader="none" w:pos="71" w:val="left"/>
        </w:tabs>
        <w:numPr>
          <w:ilvl w:val="0"/>
          <w:numId w:val="45"/>
        </w:numPr>
        <w:rPr>
          <w:rFonts w:ascii="Arial" w:cs="Arial" w:eastAsia="Arial" w:hAnsi="Arial"/>
          <w:sz w:val="14"/>
          <w:szCs w:val="14"/>
          <w:b w:val="1"/>
          <w:bCs w:val="1"/>
          <w:color w:val="1A475F"/>
        </w:rPr>
      </w:pPr>
      <w:r>
        <w:rPr>
          <w:rFonts w:ascii="MS PGothic" w:cs="MS PGothic" w:eastAsia="MS PGothic" w:hAnsi="MS PGothic"/>
          <w:sz w:val="14"/>
          <w:szCs w:val="14"/>
          <w:color w:val="1A475F"/>
        </w:rPr>
        <w:t>☒</w:t>
      </w:r>
      <w:r>
        <w:rPr>
          <w:rFonts w:ascii="Arial" w:cs="Arial" w:eastAsia="Arial" w:hAnsi="Arial"/>
          <w:sz w:val="14"/>
          <w:szCs w:val="14"/>
          <w:b w:val="1"/>
          <w:bCs w:val="1"/>
          <w:color w:val="1A475F"/>
        </w:rPr>
        <w:t xml:space="preserve"> No tax gross-ups</w:t>
      </w:r>
      <w:r>
        <w:rPr>
          <w:rFonts w:ascii="Arial" w:cs="Arial" w:eastAsia="Arial" w:hAnsi="Arial"/>
          <w:sz w:val="14"/>
          <w:szCs w:val="14"/>
          <w:color w:val="1A475F"/>
        </w:rPr>
        <w:t>—we do not provide tax gross-ups to our</w:t>
      </w:r>
      <w:r>
        <w:rPr>
          <w:rFonts w:ascii="Arial" w:cs="Arial" w:eastAsia="Arial" w:hAnsi="Arial"/>
          <w:sz w:val="14"/>
          <w:szCs w:val="14"/>
          <w:b w:val="1"/>
          <w:bCs w:val="1"/>
          <w:color w:val="1A475F"/>
        </w:rPr>
        <w:t xml:space="preserve"> </w:t>
      </w:r>
      <w:r>
        <w:rPr>
          <w:rFonts w:ascii="Arial" w:cs="Arial" w:eastAsia="Arial" w:hAnsi="Arial"/>
          <w:sz w:val="14"/>
          <w:szCs w:val="14"/>
          <w:color w:val="1A475F"/>
        </w:rPr>
        <w:t>executive officers.</w:t>
      </w:r>
    </w:p>
    <w:p>
      <w:pPr>
        <w:spacing w:after="0" w:line="6" w:lineRule="exact"/>
        <w:rPr>
          <w:rFonts w:ascii="Arial" w:cs="Arial" w:eastAsia="Arial" w:hAnsi="Arial"/>
          <w:sz w:val="14"/>
          <w:szCs w:val="14"/>
          <w:b w:val="1"/>
          <w:bCs w:val="1"/>
          <w:color w:val="1A475F"/>
        </w:rPr>
      </w:pPr>
    </w:p>
    <w:p>
      <w:pPr>
        <w:ind w:left="383" w:right="160" w:hanging="383"/>
        <w:spacing w:after="0" w:line="188" w:lineRule="exact"/>
        <w:tabs>
          <w:tab w:leader="none" w:pos="71" w:val="left"/>
        </w:tabs>
        <w:numPr>
          <w:ilvl w:val="0"/>
          <w:numId w:val="45"/>
        </w:numPr>
        <w:rPr>
          <w:rFonts w:ascii="Arial" w:cs="Arial" w:eastAsia="Arial" w:hAnsi="Arial"/>
          <w:sz w:val="14"/>
          <w:szCs w:val="14"/>
          <w:b w:val="1"/>
          <w:bCs w:val="1"/>
          <w:color w:val="1A475F"/>
        </w:rPr>
      </w:pPr>
      <w:r>
        <w:rPr>
          <w:rFonts w:ascii="MS PGothic" w:cs="MS PGothic" w:eastAsia="MS PGothic" w:hAnsi="MS PGothic"/>
          <w:sz w:val="14"/>
          <w:szCs w:val="14"/>
          <w:color w:val="1A475F"/>
        </w:rPr>
        <w:t>☒</w:t>
      </w:r>
      <w:r>
        <w:rPr>
          <w:rFonts w:ascii="Arial" w:cs="Arial" w:eastAsia="Arial" w:hAnsi="Arial"/>
          <w:sz w:val="14"/>
          <w:szCs w:val="14"/>
          <w:b w:val="1"/>
          <w:bCs w:val="1"/>
          <w:color w:val="1A475F"/>
        </w:rPr>
        <w:t xml:space="preserve"> No repricing of options</w:t>
      </w:r>
      <w:r>
        <w:rPr>
          <w:rFonts w:ascii="Arial" w:cs="Arial" w:eastAsia="Arial" w:hAnsi="Arial"/>
          <w:sz w:val="14"/>
          <w:szCs w:val="14"/>
          <w:color w:val="1A475F"/>
        </w:rPr>
        <w:t>—we do not allow repricing of underwater</w:t>
      </w:r>
      <w:r>
        <w:rPr>
          <w:rFonts w:ascii="Arial" w:cs="Arial" w:eastAsia="Arial" w:hAnsi="Arial"/>
          <w:sz w:val="14"/>
          <w:szCs w:val="14"/>
          <w:b w:val="1"/>
          <w:bCs w:val="1"/>
          <w:color w:val="1A475F"/>
        </w:rPr>
        <w:t xml:space="preserve"> </w:t>
      </w:r>
      <w:r>
        <w:rPr>
          <w:rFonts w:ascii="Arial" w:cs="Arial" w:eastAsia="Arial" w:hAnsi="Arial"/>
          <w:sz w:val="14"/>
          <w:szCs w:val="14"/>
          <w:color w:val="1A475F"/>
        </w:rPr>
        <w:t>stock options unless approved by our shareholders.</w:t>
      </w:r>
    </w:p>
    <w:p>
      <w:pPr>
        <w:spacing w:after="0" w:line="168" w:lineRule="exact"/>
        <w:rPr>
          <w:rFonts w:ascii="Arial" w:cs="Arial" w:eastAsia="Arial" w:hAnsi="Arial"/>
          <w:sz w:val="14"/>
          <w:szCs w:val="14"/>
          <w:b w:val="1"/>
          <w:bCs w:val="1"/>
          <w:color w:val="1A475F"/>
        </w:rPr>
      </w:pPr>
    </w:p>
    <w:p>
      <w:pPr>
        <w:ind w:left="383" w:right="80" w:hanging="383"/>
        <w:spacing w:after="0" w:line="188" w:lineRule="exact"/>
        <w:tabs>
          <w:tab w:leader="none" w:pos="71" w:val="left"/>
        </w:tabs>
        <w:numPr>
          <w:ilvl w:val="0"/>
          <w:numId w:val="45"/>
        </w:numPr>
        <w:rPr>
          <w:rFonts w:ascii="Arial" w:cs="Arial" w:eastAsia="Arial" w:hAnsi="Arial"/>
          <w:sz w:val="14"/>
          <w:szCs w:val="14"/>
          <w:b w:val="1"/>
          <w:bCs w:val="1"/>
          <w:color w:val="1A475F"/>
        </w:rPr>
      </w:pPr>
      <w:r>
        <w:rPr>
          <w:rFonts w:ascii="MS PGothic" w:cs="MS PGothic" w:eastAsia="MS PGothic" w:hAnsi="MS PGothic"/>
          <w:sz w:val="14"/>
          <w:szCs w:val="14"/>
          <w:color w:val="1A475F"/>
        </w:rPr>
        <w:t>☒</w:t>
      </w:r>
      <w:r>
        <w:rPr>
          <w:rFonts w:ascii="Arial" w:cs="Arial" w:eastAsia="Arial" w:hAnsi="Arial"/>
          <w:sz w:val="14"/>
          <w:szCs w:val="14"/>
          <w:b w:val="1"/>
          <w:bCs w:val="1"/>
          <w:color w:val="1A475F"/>
        </w:rPr>
        <w:t xml:space="preserve"> No defined benefit pension</w:t>
      </w:r>
      <w:r>
        <w:rPr>
          <w:rFonts w:ascii="Arial" w:cs="Arial" w:eastAsia="Arial" w:hAnsi="Arial"/>
          <w:sz w:val="14"/>
          <w:szCs w:val="14"/>
          <w:color w:val="1A475F"/>
        </w:rPr>
        <w:t>—we do not maintain a defined benefit</w:t>
      </w:r>
      <w:r>
        <w:rPr>
          <w:rFonts w:ascii="Arial" w:cs="Arial" w:eastAsia="Arial" w:hAnsi="Arial"/>
          <w:sz w:val="14"/>
          <w:szCs w:val="14"/>
          <w:b w:val="1"/>
          <w:bCs w:val="1"/>
          <w:color w:val="1A475F"/>
        </w:rPr>
        <w:t xml:space="preserve"> </w:t>
      </w:r>
      <w:r>
        <w:rPr>
          <w:rFonts w:ascii="Arial" w:cs="Arial" w:eastAsia="Arial" w:hAnsi="Arial"/>
          <w:sz w:val="14"/>
          <w:szCs w:val="14"/>
          <w:color w:val="1A475F"/>
        </w:rPr>
        <w:t>pension plan for our executive officers.</w:t>
      </w:r>
    </w:p>
    <w:p>
      <w:pPr>
        <w:spacing w:after="0" w:line="330" w:lineRule="exact"/>
        <w:rPr>
          <w:rFonts w:ascii="Arial" w:cs="Arial" w:eastAsia="Arial" w:hAnsi="Arial"/>
          <w:sz w:val="14"/>
          <w:szCs w:val="14"/>
          <w:b w:val="1"/>
          <w:bCs w:val="1"/>
          <w:color w:val="1A475F"/>
        </w:rPr>
      </w:pPr>
    </w:p>
    <w:p>
      <w:pPr>
        <w:ind w:left="383" w:right="40" w:hanging="383"/>
        <w:spacing w:after="0" w:line="180" w:lineRule="exact"/>
        <w:tabs>
          <w:tab w:leader="none" w:pos="71" w:val="left"/>
        </w:tabs>
        <w:numPr>
          <w:ilvl w:val="0"/>
          <w:numId w:val="45"/>
        </w:numPr>
        <w:rPr>
          <w:rFonts w:ascii="Arial" w:cs="Arial" w:eastAsia="Arial" w:hAnsi="Arial"/>
          <w:sz w:val="14"/>
          <w:szCs w:val="14"/>
          <w:b w:val="1"/>
          <w:bCs w:val="1"/>
          <w:color w:val="1A475F"/>
        </w:rPr>
      </w:pPr>
      <w:r>
        <w:rPr>
          <w:rFonts w:ascii="MS PGothic" w:cs="MS PGothic" w:eastAsia="MS PGothic" w:hAnsi="MS PGothic"/>
          <w:sz w:val="14"/>
          <w:szCs w:val="14"/>
          <w:color w:val="1A475F"/>
        </w:rPr>
        <w:t>☒</w:t>
      </w:r>
      <w:r>
        <w:rPr>
          <w:rFonts w:ascii="Arial" w:cs="Arial" w:eastAsia="Arial" w:hAnsi="Arial"/>
          <w:sz w:val="14"/>
          <w:szCs w:val="14"/>
          <w:b w:val="1"/>
          <w:bCs w:val="1"/>
          <w:color w:val="1A475F"/>
        </w:rPr>
        <w:t xml:space="preserve"> Restrictions on Dividends and Dividend Equivalents</w:t>
      </w:r>
      <w:r>
        <w:rPr>
          <w:rFonts w:ascii="Arial" w:cs="Arial" w:eastAsia="Arial" w:hAnsi="Arial"/>
          <w:sz w:val="14"/>
          <w:szCs w:val="14"/>
          <w:color w:val="1A475F"/>
        </w:rPr>
        <w:t>—our Equity</w:t>
      </w:r>
      <w:r>
        <w:rPr>
          <w:rFonts w:ascii="Arial" w:cs="Arial" w:eastAsia="Arial" w:hAnsi="Arial"/>
          <w:sz w:val="14"/>
          <w:szCs w:val="14"/>
          <w:b w:val="1"/>
          <w:bCs w:val="1"/>
          <w:color w:val="1A475F"/>
        </w:rPr>
        <w:t xml:space="preserve"> </w:t>
      </w:r>
      <w:r>
        <w:rPr>
          <w:rFonts w:ascii="Arial" w:cs="Arial" w:eastAsia="Arial" w:hAnsi="Arial"/>
          <w:sz w:val="14"/>
          <w:szCs w:val="14"/>
          <w:color w:val="1A475F"/>
        </w:rPr>
        <w:t>Plan prohibits participants from receiving current dividends that are paid before the underlying award vests and is paid.</w:t>
      </w:r>
    </w:p>
    <w:p>
      <w:pPr>
        <w:spacing w:after="0" w:line="330" w:lineRule="exact"/>
        <w:rPr>
          <w:rFonts w:ascii="Arial" w:cs="Arial" w:eastAsia="Arial" w:hAnsi="Arial"/>
          <w:sz w:val="14"/>
          <w:szCs w:val="14"/>
          <w:b w:val="1"/>
          <w:bCs w:val="1"/>
          <w:color w:val="1A475F"/>
        </w:rPr>
      </w:pPr>
    </w:p>
    <w:p>
      <w:pPr>
        <w:ind w:left="383" w:right="40" w:hanging="383"/>
        <w:spacing w:after="0" w:line="188" w:lineRule="exact"/>
        <w:tabs>
          <w:tab w:leader="none" w:pos="71" w:val="left"/>
        </w:tabs>
        <w:numPr>
          <w:ilvl w:val="0"/>
          <w:numId w:val="45"/>
        </w:numPr>
        <w:rPr>
          <w:rFonts w:ascii="Arial" w:cs="Arial" w:eastAsia="Arial" w:hAnsi="Arial"/>
          <w:sz w:val="14"/>
          <w:szCs w:val="14"/>
          <w:b w:val="1"/>
          <w:bCs w:val="1"/>
          <w:color w:val="1A475F"/>
        </w:rPr>
      </w:pPr>
      <w:r>
        <w:rPr>
          <w:rFonts w:ascii="MS PGothic" w:cs="MS PGothic" w:eastAsia="MS PGothic" w:hAnsi="MS PGothic"/>
          <w:sz w:val="14"/>
          <w:szCs w:val="14"/>
          <w:color w:val="1A475F"/>
        </w:rPr>
        <w:t>☒</w:t>
      </w:r>
      <w:r>
        <w:rPr>
          <w:rFonts w:ascii="Arial" w:cs="Arial" w:eastAsia="Arial" w:hAnsi="Arial"/>
          <w:sz w:val="14"/>
          <w:szCs w:val="14"/>
          <w:b w:val="1"/>
          <w:bCs w:val="1"/>
          <w:color w:val="1A475F"/>
        </w:rPr>
        <w:t xml:space="preserve"> Do not incentivize excessive risk taking</w:t>
      </w:r>
      <w:r>
        <w:rPr>
          <w:rFonts w:ascii="Arial" w:cs="Arial" w:eastAsia="Arial" w:hAnsi="Arial"/>
          <w:sz w:val="14"/>
          <w:szCs w:val="14"/>
          <w:color w:val="1A475F"/>
        </w:rPr>
        <w:t>—we annually assess our</w:t>
      </w:r>
      <w:r>
        <w:rPr>
          <w:rFonts w:ascii="Arial" w:cs="Arial" w:eastAsia="Arial" w:hAnsi="Arial"/>
          <w:sz w:val="14"/>
          <w:szCs w:val="14"/>
          <w:b w:val="1"/>
          <w:bCs w:val="1"/>
          <w:color w:val="1A475F"/>
        </w:rPr>
        <w:t xml:space="preserve"> </w:t>
      </w:r>
      <w:r>
        <w:rPr>
          <w:rFonts w:ascii="Arial" w:cs="Arial" w:eastAsia="Arial" w:hAnsi="Arial"/>
          <w:sz w:val="14"/>
          <w:szCs w:val="14"/>
          <w:color w:val="1A475F"/>
        </w:rPr>
        <w:t>compensation program to mitigate compensation-related risks.</w:t>
      </w:r>
    </w:p>
    <w:p>
      <w:pPr>
        <w:spacing w:after="0" w:line="168" w:lineRule="exact"/>
        <w:rPr>
          <w:rFonts w:ascii="Arial" w:cs="Arial" w:eastAsia="Arial" w:hAnsi="Arial"/>
          <w:sz w:val="14"/>
          <w:szCs w:val="14"/>
          <w:b w:val="1"/>
          <w:bCs w:val="1"/>
          <w:color w:val="1A475F"/>
        </w:rPr>
      </w:pPr>
    </w:p>
    <w:p>
      <w:pPr>
        <w:ind w:left="383" w:right="20" w:hanging="383"/>
        <w:spacing w:after="0" w:line="188" w:lineRule="exact"/>
        <w:tabs>
          <w:tab w:leader="none" w:pos="71" w:val="left"/>
        </w:tabs>
        <w:numPr>
          <w:ilvl w:val="0"/>
          <w:numId w:val="45"/>
        </w:numPr>
        <w:rPr>
          <w:rFonts w:ascii="Arial" w:cs="Arial" w:eastAsia="Arial" w:hAnsi="Arial"/>
          <w:sz w:val="14"/>
          <w:szCs w:val="14"/>
          <w:b w:val="1"/>
          <w:bCs w:val="1"/>
          <w:color w:val="1A475F"/>
        </w:rPr>
      </w:pPr>
      <w:r>
        <w:rPr>
          <w:rFonts w:ascii="MS PGothic" w:cs="MS PGothic" w:eastAsia="MS PGothic" w:hAnsi="MS PGothic"/>
          <w:sz w:val="14"/>
          <w:szCs w:val="14"/>
          <w:color w:val="1A475F"/>
        </w:rPr>
        <w:t>☒</w:t>
      </w:r>
      <w:r>
        <w:rPr>
          <w:rFonts w:ascii="Arial" w:cs="Arial" w:eastAsia="Arial" w:hAnsi="Arial"/>
          <w:sz w:val="14"/>
          <w:szCs w:val="14"/>
          <w:b w:val="1"/>
          <w:bCs w:val="1"/>
          <w:color w:val="1A475F"/>
        </w:rPr>
        <w:t xml:space="preserve"> Limited perks</w:t>
      </w:r>
      <w:r>
        <w:rPr>
          <w:rFonts w:ascii="Arial" w:cs="Arial" w:eastAsia="Arial" w:hAnsi="Arial"/>
          <w:sz w:val="14"/>
          <w:szCs w:val="14"/>
          <w:color w:val="1A475F"/>
        </w:rPr>
        <w:t>—we provide only modest perquisites to our executive</w:t>
      </w:r>
      <w:r>
        <w:rPr>
          <w:rFonts w:ascii="Arial" w:cs="Arial" w:eastAsia="Arial" w:hAnsi="Arial"/>
          <w:sz w:val="14"/>
          <w:szCs w:val="14"/>
          <w:b w:val="1"/>
          <w:bCs w:val="1"/>
          <w:color w:val="1A475F"/>
        </w:rPr>
        <w:t xml:space="preserve"> </w:t>
      </w:r>
      <w:r>
        <w:rPr>
          <w:rFonts w:ascii="Arial" w:cs="Arial" w:eastAsia="Arial" w:hAnsi="Arial"/>
          <w:sz w:val="14"/>
          <w:szCs w:val="14"/>
          <w:color w:val="1A475F"/>
        </w:rPr>
        <w:t>officers and most benefits are available to all eligible employees.</w:t>
      </w:r>
    </w:p>
    <w:p>
      <w:pPr>
        <w:spacing w:after="0" w:line="330" w:lineRule="exact"/>
        <w:rPr>
          <w:rFonts w:ascii="Arial" w:cs="Arial" w:eastAsia="Arial" w:hAnsi="Arial"/>
          <w:sz w:val="14"/>
          <w:szCs w:val="14"/>
          <w:b w:val="1"/>
          <w:bCs w:val="1"/>
          <w:color w:val="1A475F"/>
        </w:rPr>
      </w:pPr>
    </w:p>
    <w:p>
      <w:pPr>
        <w:ind w:left="383" w:right="40" w:hanging="383"/>
        <w:spacing w:after="0" w:line="180" w:lineRule="exact"/>
        <w:tabs>
          <w:tab w:leader="none" w:pos="71" w:val="left"/>
        </w:tabs>
        <w:numPr>
          <w:ilvl w:val="0"/>
          <w:numId w:val="45"/>
        </w:numPr>
        <w:rPr>
          <w:rFonts w:ascii="Arial" w:cs="Arial" w:eastAsia="Arial" w:hAnsi="Arial"/>
          <w:sz w:val="14"/>
          <w:szCs w:val="14"/>
          <w:b w:val="1"/>
          <w:bCs w:val="1"/>
          <w:color w:val="1A475F"/>
        </w:rPr>
      </w:pPr>
      <w:r>
        <w:rPr>
          <w:rFonts w:ascii="MS PGothic" w:cs="MS PGothic" w:eastAsia="MS PGothic" w:hAnsi="MS PGothic"/>
          <w:sz w:val="14"/>
          <w:szCs w:val="14"/>
          <w:color w:val="1A475F"/>
        </w:rPr>
        <w:t>☒</w:t>
      </w:r>
      <w:r>
        <w:rPr>
          <w:rFonts w:ascii="Arial" w:cs="Arial" w:eastAsia="Arial" w:hAnsi="Arial"/>
          <w:sz w:val="14"/>
          <w:szCs w:val="14"/>
          <w:b w:val="1"/>
          <w:bCs w:val="1"/>
          <w:color w:val="1A475F"/>
        </w:rPr>
        <w:t xml:space="preserve"> Anti-hedging and anti-pledging policy</w:t>
      </w:r>
      <w:r>
        <w:rPr>
          <w:rFonts w:ascii="Arial" w:cs="Arial" w:eastAsia="Arial" w:hAnsi="Arial"/>
          <w:sz w:val="14"/>
          <w:szCs w:val="14"/>
          <w:color w:val="1A475F"/>
        </w:rPr>
        <w:t>—hedging and pledging</w:t>
      </w:r>
      <w:r>
        <w:rPr>
          <w:rFonts w:ascii="Arial" w:cs="Arial" w:eastAsia="Arial" w:hAnsi="Arial"/>
          <w:sz w:val="14"/>
          <w:szCs w:val="14"/>
          <w:b w:val="1"/>
          <w:bCs w:val="1"/>
          <w:color w:val="1A475F"/>
        </w:rPr>
        <w:t xml:space="preserve"> </w:t>
      </w:r>
      <w:r>
        <w:rPr>
          <w:rFonts w:ascii="Arial" w:cs="Arial" w:eastAsia="Arial" w:hAnsi="Arial"/>
          <w:sz w:val="14"/>
          <w:szCs w:val="14"/>
          <w:color w:val="1A475F"/>
        </w:rPr>
        <w:t>transactions are strictly prohibited under our Amended and Restated Insider Trading Policy.</w:t>
      </w:r>
    </w:p>
    <w:p>
      <w:pPr>
        <w:spacing w:after="0" w:line="771" w:lineRule="exact"/>
        <w:rPr>
          <w:sz w:val="20"/>
          <w:szCs w:val="20"/>
          <w:color w:val="auto"/>
        </w:rPr>
      </w:pPr>
    </w:p>
    <w:p>
      <w:pPr>
        <w:sectPr>
          <w:pgSz w:w="11900" w:h="16838" w:orient="portrait"/>
          <w:cols w:equalWidth="0" w:num="2">
            <w:col w:w="5520" w:space="197"/>
            <w:col w:w="4623"/>
          </w:cols>
          <w:pgMar w:left="320" w:top="434" w:right="1239" w:bottom="1440" w:gutter="0" w:footer="0" w:header="0"/>
          <w:type w:val="continuous"/>
        </w:sectPr>
      </w:pPr>
    </w:p>
    <w:p>
      <w:pPr>
        <w:spacing w:after="0" w:line="5"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Compensation Philosophy, Objectives, and Process</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Our compensation philosophy centers on:</w:t>
      </w:r>
    </w:p>
    <w:p>
      <w:pPr>
        <w:spacing w:after="0" w:line="103" w:lineRule="exact"/>
        <w:rPr>
          <w:sz w:val="20"/>
          <w:szCs w:val="20"/>
          <w:color w:val="auto"/>
        </w:rPr>
      </w:pPr>
    </w:p>
    <w:p>
      <w:pPr>
        <w:ind w:left="2300" w:right="500" w:hanging="369"/>
        <w:spacing w:after="0" w:line="284" w:lineRule="auto"/>
        <w:tabs>
          <w:tab w:leader="none" w:pos="2300" w:val="left"/>
        </w:tabs>
        <w:numPr>
          <w:ilvl w:val="0"/>
          <w:numId w:val="46"/>
        </w:numPr>
        <w:rPr>
          <w:rFonts w:ascii="Arial" w:cs="Arial" w:eastAsia="Arial" w:hAnsi="Arial"/>
          <w:sz w:val="15"/>
          <w:szCs w:val="15"/>
          <w:color w:val="1A475F"/>
        </w:rPr>
      </w:pPr>
      <w:r>
        <w:rPr>
          <w:rFonts w:ascii="Arial" w:cs="Arial" w:eastAsia="Arial" w:hAnsi="Arial"/>
          <w:sz w:val="15"/>
          <w:szCs w:val="15"/>
          <w:b w:val="1"/>
          <w:bCs w:val="1"/>
          <w:color w:val="1A475F"/>
        </w:rPr>
        <w:t xml:space="preserve">Pay-for-Performance: </w:t>
      </w:r>
      <w:r>
        <w:rPr>
          <w:rFonts w:ascii="Arial" w:cs="Arial" w:eastAsia="Arial" w:hAnsi="Arial"/>
          <w:sz w:val="15"/>
          <w:szCs w:val="15"/>
          <w:color w:val="1A475F"/>
        </w:rPr>
        <w:t>Compensation should be tied to the achievement of financial targets and operating and</w:t>
      </w:r>
      <w:r>
        <w:rPr>
          <w:rFonts w:ascii="Arial" w:cs="Arial" w:eastAsia="Arial" w:hAnsi="Arial"/>
          <w:sz w:val="15"/>
          <w:szCs w:val="15"/>
          <w:b w:val="1"/>
          <w:bCs w:val="1"/>
          <w:color w:val="1A475F"/>
        </w:rPr>
        <w:t xml:space="preserve"> </w:t>
      </w:r>
      <w:r>
        <w:rPr>
          <w:rFonts w:ascii="Arial" w:cs="Arial" w:eastAsia="Arial" w:hAnsi="Arial"/>
          <w:sz w:val="15"/>
          <w:szCs w:val="15"/>
          <w:color w:val="1A475F"/>
        </w:rPr>
        <w:t>strategic goals.</w:t>
      </w:r>
    </w:p>
    <w:p>
      <w:pPr>
        <w:spacing w:after="0" w:line="43" w:lineRule="exact"/>
        <w:rPr>
          <w:rFonts w:ascii="Arial" w:cs="Arial" w:eastAsia="Arial" w:hAnsi="Arial"/>
          <w:sz w:val="15"/>
          <w:szCs w:val="15"/>
          <w:color w:val="1A475F"/>
        </w:rPr>
      </w:pPr>
    </w:p>
    <w:p>
      <w:pPr>
        <w:jc w:val="both"/>
        <w:ind w:left="2300" w:right="80" w:hanging="369"/>
        <w:spacing w:after="0" w:line="263" w:lineRule="auto"/>
        <w:tabs>
          <w:tab w:leader="none" w:pos="2300" w:val="left"/>
        </w:tabs>
        <w:numPr>
          <w:ilvl w:val="0"/>
          <w:numId w:val="46"/>
        </w:numPr>
        <w:rPr>
          <w:rFonts w:ascii="Arial" w:cs="Arial" w:eastAsia="Arial" w:hAnsi="Arial"/>
          <w:sz w:val="15"/>
          <w:szCs w:val="15"/>
          <w:color w:val="1A475F"/>
        </w:rPr>
      </w:pPr>
      <w:r>
        <w:rPr>
          <w:rFonts w:ascii="Arial" w:cs="Arial" w:eastAsia="Arial" w:hAnsi="Arial"/>
          <w:sz w:val="15"/>
          <w:szCs w:val="15"/>
          <w:b w:val="1"/>
          <w:bCs w:val="1"/>
          <w:color w:val="1A475F"/>
        </w:rPr>
        <w:t xml:space="preserve">Equity Ownership: </w:t>
      </w:r>
      <w:r>
        <w:rPr>
          <w:rFonts w:ascii="Arial" w:cs="Arial" w:eastAsia="Arial" w:hAnsi="Arial"/>
          <w:sz w:val="15"/>
          <w:szCs w:val="15"/>
          <w:color w:val="1A475F"/>
        </w:rPr>
        <w:t>A significant part of our compensation program is in the form of equity-based awards (both time-based and performance-based). These awards serve to align the interests of our executive officers with those of our shareholders, encourage long-term retention and incentivize long-term value creation.</w:t>
      </w:r>
    </w:p>
    <w:p>
      <w:pPr>
        <w:spacing w:after="0" w:line="185"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34</w:t>
        <w:tab/>
        <w:t>|    Bright Horizons </w:t>
      </w:r>
    </w:p>
    <w:p>
      <w:pPr>
        <w:sectPr>
          <w:pgSz w:w="11900" w:h="16838" w:orient="portrait"/>
          <w:cols w:equalWidth="0" w:num="1">
            <w:col w:w="10340"/>
          </w:cols>
          <w:pgMar w:left="320" w:top="434" w:right="12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2300" w:right="820" w:hanging="369"/>
        <w:spacing w:after="0" w:line="284" w:lineRule="auto"/>
        <w:tabs>
          <w:tab w:leader="none" w:pos="2300" w:val="left"/>
        </w:tabs>
        <w:numPr>
          <w:ilvl w:val="0"/>
          <w:numId w:val="47"/>
        </w:numPr>
        <w:rPr>
          <w:rFonts w:ascii="Arial" w:cs="Arial" w:eastAsia="Arial" w:hAnsi="Arial"/>
          <w:sz w:val="15"/>
          <w:szCs w:val="15"/>
          <w:color w:val="1A475F"/>
        </w:rPr>
      </w:pPr>
      <w:r>
        <w:rPr>
          <w:rFonts w:ascii="Arial" w:cs="Arial" w:eastAsia="Arial" w:hAnsi="Arial"/>
          <w:sz w:val="15"/>
          <w:szCs w:val="15"/>
          <w:b w:val="1"/>
          <w:bCs w:val="1"/>
          <w:color w:val="1A475F"/>
        </w:rPr>
        <w:t xml:space="preserve">Individual Performance: </w:t>
      </w:r>
      <w:r>
        <w:rPr>
          <w:rFonts w:ascii="Arial" w:cs="Arial" w:eastAsia="Arial" w:hAnsi="Arial"/>
          <w:sz w:val="15"/>
          <w:szCs w:val="15"/>
          <w:color w:val="1A475F"/>
        </w:rPr>
        <w:t>Compensation should take into account and reward individual performance and</w:t>
      </w:r>
      <w:r>
        <w:rPr>
          <w:rFonts w:ascii="Arial" w:cs="Arial" w:eastAsia="Arial" w:hAnsi="Arial"/>
          <w:sz w:val="15"/>
          <w:szCs w:val="15"/>
          <w:b w:val="1"/>
          <w:bCs w:val="1"/>
          <w:color w:val="1A475F"/>
        </w:rPr>
        <w:t xml:space="preserve"> </w:t>
      </w:r>
      <w:r>
        <w:rPr>
          <w:rFonts w:ascii="Arial" w:cs="Arial" w:eastAsia="Arial" w:hAnsi="Arial"/>
          <w:sz w:val="15"/>
          <w:szCs w:val="15"/>
          <w:color w:val="1A475F"/>
        </w:rPr>
        <w:t>contributions to our success.</w:t>
      </w:r>
    </w:p>
    <w:p>
      <w:pPr>
        <w:spacing w:after="0" w:line="32" w:lineRule="exact"/>
        <w:rPr>
          <w:sz w:val="20"/>
          <w:szCs w:val="20"/>
          <w:color w:val="auto"/>
        </w:rPr>
      </w:pPr>
    </w:p>
    <w:p>
      <w:pPr>
        <w:ind w:left="900" w:right="220" w:firstLine="756"/>
        <w:spacing w:after="0" w:line="252" w:lineRule="auto"/>
        <w:rPr>
          <w:sz w:val="20"/>
          <w:szCs w:val="20"/>
          <w:color w:val="auto"/>
        </w:rPr>
      </w:pPr>
      <w:r>
        <w:rPr>
          <w:rFonts w:ascii="Arial" w:cs="Arial" w:eastAsia="Arial" w:hAnsi="Arial"/>
          <w:sz w:val="15"/>
          <w:szCs w:val="15"/>
          <w:b w:val="1"/>
          <w:bCs w:val="1"/>
          <w:color w:val="1A475F"/>
        </w:rPr>
        <w:t xml:space="preserve">Role of the Compensation Committee and our Chief Executive Officer. </w:t>
      </w:r>
      <w:r>
        <w:rPr>
          <w:rFonts w:ascii="Arial" w:cs="Arial" w:eastAsia="Arial" w:hAnsi="Arial"/>
          <w:sz w:val="15"/>
          <w:szCs w:val="15"/>
          <w:color w:val="1A475F"/>
        </w:rPr>
        <w:t>The Compensation Committee oversees our</w:t>
      </w:r>
      <w:r>
        <w:rPr>
          <w:rFonts w:ascii="Arial" w:cs="Arial" w:eastAsia="Arial" w:hAnsi="Arial"/>
          <w:sz w:val="15"/>
          <w:szCs w:val="15"/>
          <w:b w:val="1"/>
          <w:bCs w:val="1"/>
          <w:color w:val="1A475F"/>
        </w:rPr>
        <w:t xml:space="preserve"> </w:t>
      </w:r>
      <w:r>
        <w:rPr>
          <w:rFonts w:ascii="Arial" w:cs="Arial" w:eastAsia="Arial" w:hAnsi="Arial"/>
          <w:sz w:val="15"/>
          <w:szCs w:val="15"/>
          <w:color w:val="1A475F"/>
        </w:rPr>
        <w:t>executive compensation program and is responsible for approving the compensation paid to, and the agreements entered into with, our executive officers. The Compensation Committee determines the salary, annual cash bonus incentive compensation and equity compensation of our executive officers, including our NEOs. The Compensation Committee applies the same general principles to the compensation-related decisions it makes for all of our executive officers, regardless of position.</w:t>
      </w:r>
    </w:p>
    <w:p>
      <w:pPr>
        <w:spacing w:after="0" w:line="57" w:lineRule="exact"/>
        <w:rPr>
          <w:sz w:val="20"/>
          <w:szCs w:val="20"/>
          <w:color w:val="auto"/>
        </w:rPr>
      </w:pPr>
    </w:p>
    <w:p>
      <w:pPr>
        <w:ind w:left="900" w:right="100" w:firstLine="756"/>
        <w:spacing w:after="0" w:line="248" w:lineRule="auto"/>
        <w:rPr>
          <w:sz w:val="20"/>
          <w:szCs w:val="20"/>
          <w:color w:val="auto"/>
        </w:rPr>
      </w:pPr>
      <w:r>
        <w:rPr>
          <w:rFonts w:ascii="Arial" w:cs="Arial" w:eastAsia="Arial" w:hAnsi="Arial"/>
          <w:sz w:val="15"/>
          <w:szCs w:val="15"/>
          <w:color w:val="1A475F"/>
        </w:rPr>
        <w:t>Our Chief Executive Officer provides recommendations to the Compensation Committee with respect to compensation-related decisions for our other executive officers, including salary adjustments, target annual cash bonus awards and equity awards, and also provides an assessment of each officer’s individual performance. The Compensation Committee considers these recommendations as one factor when making decisions regarding the compensation of these executive officers; however, the Compensation Committee is ultimately responsible for approving executive officer compensation. With respect to our Chief Executive Officer, the Compensation Committee annually reviews and approves the corporate and individual goals relevant to compensation, evaluates performance in light of those goals, and determines and approves compensation based on this evaluation.</w:t>
      </w:r>
    </w:p>
    <w:p>
      <w:pPr>
        <w:spacing w:after="0" w:line="58" w:lineRule="exact"/>
        <w:rPr>
          <w:sz w:val="20"/>
          <w:szCs w:val="20"/>
          <w:color w:val="auto"/>
        </w:rPr>
      </w:pPr>
    </w:p>
    <w:p>
      <w:pPr>
        <w:ind w:left="900" w:right="40" w:firstLine="756"/>
        <w:spacing w:after="0" w:line="252" w:lineRule="auto"/>
        <w:rPr>
          <w:sz w:val="20"/>
          <w:szCs w:val="20"/>
          <w:color w:val="auto"/>
        </w:rPr>
      </w:pPr>
      <w:r>
        <w:rPr>
          <w:rFonts w:ascii="Arial" w:cs="Arial" w:eastAsia="Arial" w:hAnsi="Arial"/>
          <w:sz w:val="15"/>
          <w:szCs w:val="15"/>
          <w:b w:val="1"/>
          <w:bCs w:val="1"/>
          <w:color w:val="1A475F"/>
        </w:rPr>
        <w:t xml:space="preserve">Role of Compensation Consultant and Benchmarking. </w:t>
      </w:r>
      <w:r>
        <w:rPr>
          <w:rFonts w:ascii="Arial" w:cs="Arial" w:eastAsia="Arial" w:hAnsi="Arial"/>
          <w:sz w:val="15"/>
          <w:szCs w:val="15"/>
          <w:color w:val="1A475F"/>
        </w:rPr>
        <w:t>The Compensation Committee periodically engages an independent</w:t>
      </w:r>
      <w:r>
        <w:rPr>
          <w:rFonts w:ascii="Arial" w:cs="Arial" w:eastAsia="Arial" w:hAnsi="Arial"/>
          <w:sz w:val="15"/>
          <w:szCs w:val="15"/>
          <w:b w:val="1"/>
          <w:bCs w:val="1"/>
          <w:color w:val="1A475F"/>
        </w:rPr>
        <w:t xml:space="preserve"> </w:t>
      </w:r>
      <w:r>
        <w:rPr>
          <w:rFonts w:ascii="Arial" w:cs="Arial" w:eastAsia="Arial" w:hAnsi="Arial"/>
          <w:sz w:val="15"/>
          <w:szCs w:val="15"/>
          <w:color w:val="1A475F"/>
        </w:rPr>
        <w:t>compensation consultant to review the Company’s overall compensation program. Neither the Company nor the Compensation Committee used a compensation consultant or compensation benchmarking comparison data in determining the compensation to be paid to our NEOs in 2025. The Compensation Committee relied on the factors described in this “Compensation Discussion and Analysis” in making compensation decisions for our NEOs in 2025.</w:t>
      </w:r>
    </w:p>
    <w:p>
      <w:pPr>
        <w:spacing w:after="0" w:line="57" w:lineRule="exact"/>
        <w:rPr>
          <w:sz w:val="20"/>
          <w:szCs w:val="20"/>
          <w:color w:val="auto"/>
        </w:rPr>
      </w:pPr>
    </w:p>
    <w:p>
      <w:pPr>
        <w:ind w:left="900" w:firstLine="756"/>
        <w:spacing w:after="0" w:line="248" w:lineRule="auto"/>
        <w:rPr>
          <w:sz w:val="20"/>
          <w:szCs w:val="20"/>
          <w:color w:val="auto"/>
        </w:rPr>
      </w:pPr>
      <w:r>
        <w:rPr>
          <w:rFonts w:ascii="Arial" w:cs="Arial" w:eastAsia="Arial" w:hAnsi="Arial"/>
          <w:sz w:val="15"/>
          <w:szCs w:val="15"/>
          <w:color w:val="1A475F"/>
        </w:rPr>
        <w:t>During 2025, the Compensation Committee reviewed the Company’s overall compensation program and engaged its independent compensation consultant, Meridian, to review its LTIP with an aim to better understand current market practice for LTIP plans and to evaluate and review trends in executive compensation to ensure alignment with the market, including review of both general market studies and proprietary market data on total compensation. The Compensation Committee reviewed such studies and comparison data on executive compensation as a factor in reviewing and setting compensation for 2026. The Compensation Committee approved changes to the Company’s compensation program for 2026, with input from Meridian, as further described in this Compensation Discussion and Analysis under Key Compensation Changes for 2026 above.</w:t>
      </w:r>
    </w:p>
    <w:p>
      <w:pPr>
        <w:spacing w:after="0" w:line="60" w:lineRule="exact"/>
        <w:rPr>
          <w:sz w:val="20"/>
          <w:szCs w:val="20"/>
          <w:color w:val="auto"/>
        </w:rPr>
      </w:pPr>
    </w:p>
    <w:p>
      <w:pPr>
        <w:ind w:left="900" w:right="20" w:firstLine="756"/>
        <w:spacing w:after="0" w:line="255" w:lineRule="auto"/>
        <w:rPr>
          <w:sz w:val="20"/>
          <w:szCs w:val="20"/>
          <w:color w:val="auto"/>
        </w:rPr>
      </w:pPr>
      <w:r>
        <w:rPr>
          <w:rFonts w:ascii="Arial" w:cs="Arial" w:eastAsia="Arial" w:hAnsi="Arial"/>
          <w:sz w:val="15"/>
          <w:szCs w:val="15"/>
          <w:color w:val="1A475F"/>
        </w:rPr>
        <w:t>In connection with the engagement of Meridian, the Compensation Committee determined that Meridian and the individual consultants that work with the Compensation Committee are independent and do not have any economic interests in or other relationships with the Company or the Compensation Committee members that would conflict with their obligation to provide the Compensation Committee with impartial and objective advice.</w:t>
      </w:r>
    </w:p>
    <w:p>
      <w:pPr>
        <w:spacing w:after="0" w:line="52" w:lineRule="exact"/>
        <w:rPr>
          <w:sz w:val="20"/>
          <w:szCs w:val="20"/>
          <w:color w:val="auto"/>
        </w:rPr>
      </w:pPr>
    </w:p>
    <w:p>
      <w:pPr>
        <w:ind w:left="900" w:right="20" w:firstLine="756"/>
        <w:spacing w:after="0" w:line="284" w:lineRule="auto"/>
        <w:rPr>
          <w:sz w:val="20"/>
          <w:szCs w:val="20"/>
          <w:color w:val="auto"/>
        </w:rPr>
      </w:pPr>
      <w:r>
        <w:rPr>
          <w:rFonts w:ascii="Arial" w:cs="Arial" w:eastAsia="Arial" w:hAnsi="Arial"/>
          <w:sz w:val="15"/>
          <w:szCs w:val="15"/>
          <w:b w:val="1"/>
          <w:bCs w:val="1"/>
          <w:color w:val="1A475F"/>
        </w:rPr>
        <w:t xml:space="preserve">The Role of Shareholder Say-on-Pay Vote. </w:t>
      </w:r>
      <w:r>
        <w:rPr>
          <w:rFonts w:ascii="Arial" w:cs="Arial" w:eastAsia="Arial" w:hAnsi="Arial"/>
          <w:sz w:val="15"/>
          <w:szCs w:val="15"/>
          <w:color w:val="1A475F"/>
        </w:rPr>
        <w:t>Bright Horizons has received strong support for its say-on-pay proposals over the</w:t>
      </w:r>
      <w:r>
        <w:rPr>
          <w:rFonts w:ascii="Arial" w:cs="Arial" w:eastAsia="Arial" w:hAnsi="Arial"/>
          <w:sz w:val="15"/>
          <w:szCs w:val="15"/>
          <w:b w:val="1"/>
          <w:bCs w:val="1"/>
          <w:color w:val="1A475F"/>
        </w:rPr>
        <w:t xml:space="preserve"> </w:t>
      </w:r>
      <w:r>
        <w:rPr>
          <w:rFonts w:ascii="Arial" w:cs="Arial" w:eastAsia="Arial" w:hAnsi="Arial"/>
          <w:sz w:val="15"/>
          <w:szCs w:val="15"/>
          <w:color w:val="1A475F"/>
        </w:rPr>
        <w:t>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104140</wp:posOffset>
            </wp:positionV>
            <wp:extent cx="3300095" cy="1220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00095" cy="1220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00" w:right="20" w:firstLine="756"/>
        <w:spacing w:after="0" w:line="246" w:lineRule="auto"/>
        <w:rPr>
          <w:sz w:val="20"/>
          <w:szCs w:val="20"/>
          <w:color w:val="auto"/>
        </w:rPr>
      </w:pPr>
      <w:r>
        <w:rPr>
          <w:rFonts w:ascii="Arial" w:cs="Arial" w:eastAsia="Arial" w:hAnsi="Arial"/>
          <w:sz w:val="15"/>
          <w:szCs w:val="15"/>
          <w:color w:val="1A475F"/>
        </w:rPr>
        <w:t xml:space="preserve">The Compensation Committee reviewed the results of the Company’s 2025 Annual Meeting at which the vast majority of our shareholders approved, on an advisory basis, the compensation of our NEOs with approximately </w:t>
      </w:r>
      <w:r>
        <w:rPr>
          <w:rFonts w:ascii="Arial" w:cs="Arial" w:eastAsia="Arial" w:hAnsi="Arial"/>
          <w:sz w:val="15"/>
          <w:szCs w:val="15"/>
          <w:b w:val="1"/>
          <w:bCs w:val="1"/>
          <w:color w:val="1A475F"/>
        </w:rPr>
        <w:t>94.2%</w:t>
      </w:r>
      <w:r>
        <w:rPr>
          <w:rFonts w:ascii="Arial" w:cs="Arial" w:eastAsia="Arial" w:hAnsi="Arial"/>
          <w:sz w:val="15"/>
          <w:szCs w:val="15"/>
          <w:color w:val="1A475F"/>
        </w:rPr>
        <w:t xml:space="preserve"> of the votes cast voting in favor of the proposal. The Compensation Committee believes this result affirms our shareholders’ support of the Company’s approach to executive compensation. Although the vote is non-binding, the Compensation Committee considered the results of the vote in its review of our executive compensation program. Based on this level of support and its assessment of the efficacy and appropriateness of our executive compensation program, as well as shareholder feedback previously received, the Compensation Committee did not implement substantial changes to our executive compensation program based upon last year’s advisory vote, but did make certain changes to 2026 compensation, to incentivize our NEOs, promote the successful execution of the longer term growth and performance strategy, and to tie additional compensation to performance.</w:t>
      </w:r>
    </w:p>
    <w:p>
      <w:pPr>
        <w:spacing w:after="0" w:line="97"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35</w:t>
      </w:r>
    </w:p>
    <w:p>
      <w:pPr>
        <w:sectPr>
          <w:pgSz w:w="11900" w:h="16838" w:orient="portrait"/>
          <w:cols w:equalWidth="0" w:num="1">
            <w:col w:w="10340"/>
          </w:cols>
          <w:pgMar w:left="320" w:top="434" w:right="1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Elements of Executive Compensation</w:t>
      </w:r>
    </w:p>
    <w:p>
      <w:pPr>
        <w:spacing w:after="0" w:line="94" w:lineRule="exact"/>
        <w:rPr>
          <w:sz w:val="20"/>
          <w:szCs w:val="20"/>
          <w:color w:val="auto"/>
        </w:rPr>
      </w:pPr>
    </w:p>
    <w:p>
      <w:pPr>
        <w:ind w:left="900" w:right="500" w:firstLine="756"/>
        <w:spacing w:after="0" w:line="282" w:lineRule="auto"/>
        <w:rPr>
          <w:sz w:val="20"/>
          <w:szCs w:val="20"/>
          <w:color w:val="auto"/>
        </w:rPr>
      </w:pPr>
      <w:r>
        <w:rPr>
          <w:rFonts w:ascii="Arial" w:cs="Arial" w:eastAsia="Arial" w:hAnsi="Arial"/>
          <w:sz w:val="15"/>
          <w:szCs w:val="15"/>
          <w:color w:val="1A475F"/>
        </w:rPr>
        <w:t>To achieve our compensation objectives, we provide each NEO with a compensation package consisting primarily of the following fixed, incentive and at-risk elements.</w:t>
      </w:r>
    </w:p>
    <w:p>
      <w:pPr>
        <w:sectPr>
          <w:pgSz w:w="11900" w:h="16838" w:orient="portrait"/>
          <w:cols w:equalWidth="0" w:num="1">
            <w:col w:w="10340"/>
          </w:cols>
          <w:pgMar w:left="320" w:top="434" w:right="1239" w:bottom="1440" w:gutter="0" w:footer="0" w:header="0"/>
        </w:sectPr>
      </w:pPr>
    </w:p>
    <w:p>
      <w:pPr>
        <w:spacing w:after="0" w:line="222"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1A475F"/>
        </w:rPr>
        <w:t>Compensation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8255</wp:posOffset>
            </wp:positionV>
            <wp:extent cx="3006090" cy="676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06090" cy="676275"/>
                    </a:xfrm>
                    <a:prstGeom prst="rect">
                      <a:avLst/>
                    </a:prstGeom>
                    <a:noFill/>
                  </pic:spPr>
                </pic:pic>
              </a:graphicData>
            </a:graphic>
          </wp:anchor>
        </w:drawing>
      </w:r>
    </w:p>
    <w:p>
      <w:pPr>
        <w:spacing w:after="0" w:line="11" w:lineRule="exact"/>
        <w:rPr>
          <w:sz w:val="20"/>
          <w:szCs w:val="20"/>
          <w:color w:val="auto"/>
        </w:rPr>
      </w:pPr>
    </w:p>
    <w:p>
      <w:pPr>
        <w:ind w:left="980" w:hanging="79"/>
        <w:spacing w:after="0"/>
        <w:tabs>
          <w:tab w:leader="none" w:pos="980" w:val="left"/>
        </w:tabs>
        <w:numPr>
          <w:ilvl w:val="0"/>
          <w:numId w:val="48"/>
        </w:numPr>
        <w:rPr>
          <w:rFonts w:ascii="Arial" w:cs="Arial" w:eastAsia="Arial" w:hAnsi="Arial"/>
          <w:sz w:val="15"/>
          <w:szCs w:val="15"/>
          <w:color w:val="1A475F"/>
        </w:rPr>
      </w:pPr>
      <w:r>
        <w:rPr>
          <w:rFonts w:ascii="Arial" w:cs="Arial" w:eastAsia="Arial" w:hAnsi="Arial"/>
          <w:sz w:val="15"/>
          <w:szCs w:val="15"/>
          <w:b w:val="1"/>
          <w:bCs w:val="1"/>
          <w:color w:val="1A475F"/>
        </w:rPr>
        <w:t xml:space="preserve">Fixed: </w:t>
      </w:r>
      <w:r>
        <w:rPr>
          <w:rFonts w:ascii="Arial" w:cs="Arial" w:eastAsia="Arial" w:hAnsi="Arial"/>
          <w:sz w:val="15"/>
          <w:szCs w:val="15"/>
          <w:color w:val="1A475F"/>
        </w:rPr>
        <w:t>Base Salary and Benefits</w:t>
      </w:r>
    </w:p>
    <w:p>
      <w:pPr>
        <w:spacing w:after="0" w:line="200" w:lineRule="exact"/>
        <w:rPr>
          <w:rFonts w:ascii="Arial" w:cs="Arial" w:eastAsia="Arial" w:hAnsi="Arial"/>
          <w:sz w:val="15"/>
          <w:szCs w:val="15"/>
          <w:color w:val="1A475F"/>
        </w:rPr>
      </w:pPr>
    </w:p>
    <w:p>
      <w:pPr>
        <w:spacing w:after="0" w:line="200" w:lineRule="exact"/>
        <w:rPr>
          <w:rFonts w:ascii="Arial" w:cs="Arial" w:eastAsia="Arial" w:hAnsi="Arial"/>
          <w:sz w:val="15"/>
          <w:szCs w:val="15"/>
          <w:color w:val="1A475F"/>
        </w:rPr>
      </w:pPr>
    </w:p>
    <w:p>
      <w:pPr>
        <w:spacing w:after="0" w:line="200" w:lineRule="exact"/>
        <w:rPr>
          <w:rFonts w:ascii="Arial" w:cs="Arial" w:eastAsia="Arial" w:hAnsi="Arial"/>
          <w:sz w:val="15"/>
          <w:szCs w:val="15"/>
          <w:color w:val="1A475F"/>
        </w:rPr>
      </w:pPr>
    </w:p>
    <w:p>
      <w:pPr>
        <w:spacing w:after="0" w:line="316" w:lineRule="exact"/>
        <w:rPr>
          <w:rFonts w:ascii="Arial" w:cs="Arial" w:eastAsia="Arial" w:hAnsi="Arial"/>
          <w:sz w:val="15"/>
          <w:szCs w:val="15"/>
          <w:color w:val="1A475F"/>
        </w:rPr>
      </w:pPr>
    </w:p>
    <w:p>
      <w:pPr>
        <w:ind w:left="980" w:hanging="79"/>
        <w:spacing w:after="0"/>
        <w:tabs>
          <w:tab w:leader="none" w:pos="980" w:val="left"/>
        </w:tabs>
        <w:numPr>
          <w:ilvl w:val="0"/>
          <w:numId w:val="48"/>
        </w:numPr>
        <w:rPr>
          <w:rFonts w:ascii="Arial" w:cs="Arial" w:eastAsia="Arial" w:hAnsi="Arial"/>
          <w:sz w:val="15"/>
          <w:szCs w:val="15"/>
          <w:color w:val="FFFFFF"/>
        </w:rPr>
      </w:pPr>
      <w:r>
        <w:rPr>
          <w:rFonts w:ascii="Arial" w:cs="Arial" w:eastAsia="Arial" w:hAnsi="Arial"/>
          <w:sz w:val="15"/>
          <w:szCs w:val="15"/>
          <w:b w:val="1"/>
          <w:bCs w:val="1"/>
          <w:color w:val="FFFFFF"/>
        </w:rPr>
        <w:t xml:space="preserve">Incentive: </w:t>
      </w:r>
      <w:r>
        <w:rPr>
          <w:rFonts w:ascii="Arial" w:cs="Arial" w:eastAsia="Arial" w:hAnsi="Arial"/>
          <w:sz w:val="15"/>
          <w:szCs w:val="15"/>
          <w:color w:val="FFFFFF"/>
        </w:rPr>
        <w:t>Annual Cash Bonus</w:t>
      </w:r>
    </w:p>
    <w:p>
      <w:pPr>
        <w:spacing w:after="0" w:line="200" w:lineRule="exact"/>
        <w:rPr>
          <w:rFonts w:ascii="Arial" w:cs="Arial" w:eastAsia="Arial" w:hAnsi="Arial"/>
          <w:sz w:val="15"/>
          <w:szCs w:val="15"/>
          <w:color w:val="FFFFFF"/>
        </w:rPr>
      </w:pPr>
    </w:p>
    <w:p>
      <w:pPr>
        <w:spacing w:after="0" w:line="200" w:lineRule="exact"/>
        <w:rPr>
          <w:rFonts w:ascii="Arial" w:cs="Arial" w:eastAsia="Arial" w:hAnsi="Arial"/>
          <w:sz w:val="15"/>
          <w:szCs w:val="15"/>
          <w:color w:val="FFFFFF"/>
        </w:rPr>
      </w:pPr>
    </w:p>
    <w:p>
      <w:pPr>
        <w:spacing w:after="0" w:line="237" w:lineRule="exact"/>
        <w:rPr>
          <w:rFonts w:ascii="Arial" w:cs="Arial" w:eastAsia="Arial" w:hAnsi="Arial"/>
          <w:sz w:val="15"/>
          <w:szCs w:val="15"/>
          <w:color w:val="FFFFFF"/>
        </w:rPr>
      </w:pPr>
    </w:p>
    <w:p>
      <w:pPr>
        <w:ind w:left="980" w:hanging="79"/>
        <w:spacing w:after="0"/>
        <w:tabs>
          <w:tab w:leader="none" w:pos="980" w:val="left"/>
        </w:tabs>
        <w:numPr>
          <w:ilvl w:val="0"/>
          <w:numId w:val="48"/>
        </w:numPr>
        <w:rPr>
          <w:rFonts w:ascii="Arial" w:cs="Arial" w:eastAsia="Arial" w:hAnsi="Arial"/>
          <w:sz w:val="15"/>
          <w:szCs w:val="15"/>
          <w:b w:val="1"/>
          <w:bCs w:val="1"/>
          <w:color w:val="FFFFFF"/>
        </w:rPr>
      </w:pPr>
      <w:r>
        <w:rPr>
          <w:rFonts w:ascii="Arial" w:cs="Arial" w:eastAsia="Arial" w:hAnsi="Arial"/>
          <w:sz w:val="15"/>
          <w:szCs w:val="15"/>
          <w:b w:val="1"/>
          <w:bCs w:val="1"/>
          <w:color w:val="FFFFFF"/>
        </w:rPr>
        <w:t xml:space="preserve">At-Risk: </w:t>
      </w:r>
      <w:r>
        <w:rPr>
          <w:rFonts w:ascii="Arial" w:cs="Arial" w:eastAsia="Arial" w:hAnsi="Arial"/>
          <w:sz w:val="15"/>
          <w:szCs w:val="15"/>
          <w:color w:val="FFFFFF"/>
        </w:rPr>
        <w:t>Long-Term Equity Incentive Awards</w:t>
      </w:r>
    </w:p>
    <w:p>
      <w:pPr>
        <w:spacing w:after="0" w:line="107" w:lineRule="exact"/>
        <w:rPr>
          <w:rFonts w:ascii="Arial" w:cs="Arial" w:eastAsia="Arial" w:hAnsi="Arial"/>
          <w:sz w:val="15"/>
          <w:szCs w:val="15"/>
          <w:b w:val="1"/>
          <w:bCs w:val="1"/>
          <w:color w:val="FFFFFF"/>
        </w:rPr>
      </w:pPr>
    </w:p>
    <w:p>
      <w:pPr>
        <w:ind w:left="1700" w:hanging="274"/>
        <w:spacing w:after="0"/>
        <w:tabs>
          <w:tab w:leader="none" w:pos="1700" w:val="left"/>
        </w:tabs>
        <w:numPr>
          <w:ilvl w:val="1"/>
          <w:numId w:val="48"/>
        </w:numPr>
        <w:rPr>
          <w:rFonts w:ascii="Arial" w:cs="Arial" w:eastAsia="Arial" w:hAnsi="Arial"/>
          <w:sz w:val="15"/>
          <w:szCs w:val="15"/>
          <w:color w:val="FFFFFF"/>
        </w:rPr>
      </w:pPr>
      <w:r>
        <w:rPr>
          <w:rFonts w:ascii="Arial" w:cs="Arial" w:eastAsia="Arial" w:hAnsi="Arial"/>
          <w:sz w:val="15"/>
          <w:szCs w:val="15"/>
          <w:color w:val="FFFFFF"/>
        </w:rPr>
        <w:t>50% Time-Based RSUs</w:t>
      </w:r>
    </w:p>
    <w:p>
      <w:pPr>
        <w:spacing w:after="0" w:line="59" w:lineRule="exact"/>
        <w:rPr>
          <w:rFonts w:ascii="Arial" w:cs="Arial" w:eastAsia="Arial" w:hAnsi="Arial"/>
          <w:sz w:val="15"/>
          <w:szCs w:val="15"/>
          <w:color w:val="FFFFFF"/>
        </w:rPr>
      </w:pPr>
    </w:p>
    <w:p>
      <w:pPr>
        <w:ind w:left="1700" w:hanging="274"/>
        <w:spacing w:after="0"/>
        <w:tabs>
          <w:tab w:leader="none" w:pos="1700" w:val="left"/>
        </w:tabs>
        <w:numPr>
          <w:ilvl w:val="1"/>
          <w:numId w:val="48"/>
        </w:numPr>
        <w:rPr>
          <w:rFonts w:ascii="Arial" w:cs="Arial" w:eastAsia="Arial" w:hAnsi="Arial"/>
          <w:sz w:val="15"/>
          <w:szCs w:val="15"/>
          <w:color w:val="FFFFFF"/>
        </w:rPr>
      </w:pPr>
      <w:r>
        <w:rPr>
          <w:rFonts w:ascii="Arial" w:cs="Arial" w:eastAsia="Arial" w:hAnsi="Arial"/>
          <w:sz w:val="15"/>
          <w:szCs w:val="15"/>
          <w:color w:val="FFFFFF"/>
        </w:rPr>
        <w:t>25% Performance-Based RSUs</w:t>
      </w:r>
    </w:p>
    <w:p>
      <w:pPr>
        <w:spacing w:after="0" w:line="59" w:lineRule="exact"/>
        <w:rPr>
          <w:rFonts w:ascii="Arial" w:cs="Arial" w:eastAsia="Arial" w:hAnsi="Arial"/>
          <w:sz w:val="15"/>
          <w:szCs w:val="15"/>
          <w:color w:val="FFFFFF"/>
        </w:rPr>
      </w:pPr>
    </w:p>
    <w:p>
      <w:pPr>
        <w:ind w:left="1700" w:hanging="274"/>
        <w:spacing w:after="0"/>
        <w:tabs>
          <w:tab w:leader="none" w:pos="1700" w:val="left"/>
        </w:tabs>
        <w:numPr>
          <w:ilvl w:val="1"/>
          <w:numId w:val="48"/>
        </w:numPr>
        <w:rPr>
          <w:rFonts w:ascii="Arial" w:cs="Arial" w:eastAsia="Arial" w:hAnsi="Arial"/>
          <w:sz w:val="15"/>
          <w:szCs w:val="15"/>
          <w:color w:val="FFFFFF"/>
        </w:rPr>
      </w:pPr>
      <w:r>
        <w:rPr>
          <w:rFonts w:ascii="Arial" w:cs="Arial" w:eastAsia="Arial" w:hAnsi="Arial"/>
          <w:sz w:val="15"/>
          <w:szCs w:val="15"/>
          <w:color w:val="FFFFFF"/>
        </w:rPr>
        <w:t>25% Stock Options</w:t>
      </w:r>
    </w:p>
    <w:p>
      <w:pPr>
        <w:spacing w:after="0" w:line="57" w:lineRule="exact"/>
        <w:rPr>
          <w:rFonts w:ascii="Arial" w:cs="Arial" w:eastAsia="Arial" w:hAnsi="Arial"/>
          <w:sz w:val="15"/>
          <w:szCs w:val="15"/>
          <w:color w:val="FFFFFF"/>
        </w:rPr>
      </w:pPr>
    </w:p>
    <w:p>
      <w:pPr>
        <w:ind w:left="980" w:hanging="79"/>
        <w:spacing w:after="0"/>
        <w:tabs>
          <w:tab w:leader="none" w:pos="980" w:val="left"/>
        </w:tabs>
        <w:numPr>
          <w:ilvl w:val="0"/>
          <w:numId w:val="48"/>
        </w:numPr>
        <w:rPr>
          <w:rFonts w:ascii="Arial" w:cs="Arial" w:eastAsia="Arial" w:hAnsi="Arial"/>
          <w:sz w:val="15"/>
          <w:szCs w:val="15"/>
          <w:b w:val="1"/>
          <w:bCs w:val="1"/>
          <w:color w:val="FFFFFF"/>
        </w:rPr>
      </w:pPr>
      <w:r>
        <w:rPr>
          <w:rFonts w:ascii="Arial" w:cs="Arial" w:eastAsia="Arial" w:hAnsi="Arial"/>
          <w:sz w:val="15"/>
          <w:szCs w:val="15"/>
          <w:b w:val="1"/>
          <w:bCs w:val="1"/>
          <w:color w:val="FFFFFF"/>
        </w:rPr>
        <w:t>Starting in 2026:</w:t>
      </w:r>
    </w:p>
    <w:p>
      <w:pPr>
        <w:spacing w:after="0" w:line="61" w:lineRule="exact"/>
        <w:rPr>
          <w:rFonts w:ascii="Arial" w:cs="Arial" w:eastAsia="Arial" w:hAnsi="Arial"/>
          <w:sz w:val="15"/>
          <w:szCs w:val="15"/>
          <w:b w:val="1"/>
          <w:bCs w:val="1"/>
          <w:color w:val="FFFFFF"/>
        </w:rPr>
      </w:pPr>
    </w:p>
    <w:p>
      <w:pPr>
        <w:ind w:left="1700" w:hanging="274"/>
        <w:spacing w:after="0"/>
        <w:tabs>
          <w:tab w:leader="none" w:pos="1700" w:val="left"/>
        </w:tabs>
        <w:numPr>
          <w:ilvl w:val="1"/>
          <w:numId w:val="48"/>
        </w:numPr>
        <w:rPr>
          <w:rFonts w:ascii="Arial" w:cs="Arial" w:eastAsia="Arial" w:hAnsi="Arial"/>
          <w:sz w:val="15"/>
          <w:szCs w:val="15"/>
          <w:color w:val="FFFFFF"/>
        </w:rPr>
      </w:pPr>
      <w:r>
        <w:rPr>
          <w:rFonts w:ascii="Arial" w:cs="Arial" w:eastAsia="Arial" w:hAnsi="Arial"/>
          <w:sz w:val="15"/>
          <w:szCs w:val="15"/>
          <w:color w:val="FFFFFF"/>
        </w:rPr>
        <w:t>50% Time-Based RSUs</w:t>
      </w:r>
    </w:p>
    <w:p>
      <w:pPr>
        <w:spacing w:after="0" w:line="59" w:lineRule="exact"/>
        <w:rPr>
          <w:rFonts w:ascii="Arial" w:cs="Arial" w:eastAsia="Arial" w:hAnsi="Arial"/>
          <w:sz w:val="15"/>
          <w:szCs w:val="15"/>
          <w:color w:val="FFFFFF"/>
        </w:rPr>
      </w:pPr>
    </w:p>
    <w:p>
      <w:pPr>
        <w:ind w:left="1700" w:hanging="274"/>
        <w:spacing w:after="0"/>
        <w:tabs>
          <w:tab w:leader="none" w:pos="1700" w:val="left"/>
        </w:tabs>
        <w:numPr>
          <w:ilvl w:val="1"/>
          <w:numId w:val="48"/>
        </w:numPr>
        <w:rPr>
          <w:rFonts w:ascii="Arial" w:cs="Arial" w:eastAsia="Arial" w:hAnsi="Arial"/>
          <w:sz w:val="15"/>
          <w:szCs w:val="15"/>
          <w:color w:val="FFFFFF"/>
        </w:rPr>
      </w:pPr>
      <w:r>
        <w:rPr>
          <w:rFonts w:ascii="Arial" w:cs="Arial" w:eastAsia="Arial" w:hAnsi="Arial"/>
          <w:sz w:val="15"/>
          <w:szCs w:val="15"/>
          <w:color w:val="FFFFFF"/>
        </w:rPr>
        <w:t>50%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-1540510</wp:posOffset>
            </wp:positionV>
            <wp:extent cx="3006090" cy="15506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06090" cy="1550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192" w:hanging="192"/>
        <w:spacing w:after="0"/>
        <w:tabs>
          <w:tab w:leader="none" w:pos="192" w:val="left"/>
        </w:tabs>
        <w:numPr>
          <w:ilvl w:val="0"/>
          <w:numId w:val="49"/>
        </w:numPr>
        <w:rPr>
          <w:rFonts w:ascii="Arial" w:cs="Arial" w:eastAsia="Arial" w:hAnsi="Arial"/>
          <w:sz w:val="15"/>
          <w:szCs w:val="15"/>
          <w:color w:val="1A475F"/>
        </w:rPr>
      </w:pPr>
      <w:r>
        <w:rPr>
          <w:rFonts w:ascii="Arial" w:cs="Arial" w:eastAsia="Arial" w:hAnsi="Arial"/>
          <w:sz w:val="14"/>
          <w:szCs w:val="14"/>
          <w:b w:val="1"/>
          <w:bCs w:val="1"/>
          <w:color w:val="1A475F"/>
        </w:rPr>
        <w:t>Compensation Objectives and Approach</w:t>
      </w:r>
    </w:p>
    <w:p>
      <w:pPr>
        <w:spacing w:after="0" w:line="19" w:lineRule="exact"/>
        <w:rPr>
          <w:rFonts w:ascii="Arial" w:cs="Arial" w:eastAsia="Arial" w:hAnsi="Arial"/>
          <w:sz w:val="15"/>
          <w:szCs w:val="15"/>
          <w:color w:val="1A475F"/>
        </w:rPr>
      </w:pPr>
    </w:p>
    <w:p>
      <w:pPr>
        <w:ind w:left="492" w:hanging="230"/>
        <w:spacing w:after="0"/>
        <w:tabs>
          <w:tab w:leader="none" w:pos="492" w:val="left"/>
        </w:tabs>
        <w:numPr>
          <w:ilvl w:val="1"/>
          <w:numId w:val="49"/>
        </w:numPr>
        <w:rPr>
          <w:rFonts w:ascii="Arial" w:cs="Arial" w:eastAsia="Arial" w:hAnsi="Arial"/>
          <w:sz w:val="15"/>
          <w:szCs w:val="15"/>
          <w:color w:val="1A475F"/>
        </w:rPr>
      </w:pPr>
      <w:r>
        <w:rPr>
          <w:rFonts w:ascii="Arial" w:cs="Arial" w:eastAsia="Arial" w:hAnsi="Arial"/>
          <w:sz w:val="15"/>
          <w:szCs w:val="15"/>
          <w:color w:val="1A475F"/>
        </w:rPr>
        <w:t>Recognizes performance of job responsibilities.</w:t>
      </w:r>
    </w:p>
    <w:p>
      <w:pPr>
        <w:spacing w:after="0" w:line="50" w:lineRule="exact"/>
        <w:rPr>
          <w:rFonts w:ascii="Arial" w:cs="Arial" w:eastAsia="Arial" w:hAnsi="Arial"/>
          <w:sz w:val="15"/>
          <w:szCs w:val="15"/>
          <w:color w:val="1A475F"/>
        </w:rPr>
      </w:pPr>
    </w:p>
    <w:p>
      <w:pPr>
        <w:ind w:left="492" w:hanging="230"/>
        <w:spacing w:after="0"/>
        <w:tabs>
          <w:tab w:leader="none" w:pos="492" w:val="left"/>
        </w:tabs>
        <w:numPr>
          <w:ilvl w:val="1"/>
          <w:numId w:val="49"/>
        </w:numPr>
        <w:rPr>
          <w:rFonts w:ascii="Arial" w:cs="Arial" w:eastAsia="Arial" w:hAnsi="Arial"/>
          <w:sz w:val="15"/>
          <w:szCs w:val="15"/>
          <w:color w:val="1A475F"/>
        </w:rPr>
      </w:pPr>
      <w:r>
        <w:rPr>
          <w:rFonts w:ascii="Arial" w:cs="Arial" w:eastAsia="Arial" w:hAnsi="Arial"/>
          <w:sz w:val="15"/>
          <w:szCs w:val="15"/>
          <w:color w:val="1A475F"/>
        </w:rPr>
        <w:t>Aims to attract and retain key employees.</w:t>
      </w:r>
    </w:p>
    <w:p>
      <w:pPr>
        <w:spacing w:after="0" w:line="59" w:lineRule="exact"/>
        <w:rPr>
          <w:rFonts w:ascii="Arial" w:cs="Arial" w:eastAsia="Arial" w:hAnsi="Arial"/>
          <w:sz w:val="15"/>
          <w:szCs w:val="15"/>
          <w:color w:val="1A475F"/>
        </w:rPr>
      </w:pPr>
    </w:p>
    <w:p>
      <w:pPr>
        <w:ind w:left="492" w:hanging="230"/>
        <w:spacing w:after="0"/>
        <w:tabs>
          <w:tab w:leader="none" w:pos="492" w:val="left"/>
        </w:tabs>
        <w:numPr>
          <w:ilvl w:val="1"/>
          <w:numId w:val="49"/>
        </w:numPr>
        <w:rPr>
          <w:rFonts w:ascii="Arial" w:cs="Arial" w:eastAsia="Arial" w:hAnsi="Arial"/>
          <w:sz w:val="15"/>
          <w:szCs w:val="15"/>
          <w:color w:val="1A475F"/>
        </w:rPr>
      </w:pPr>
      <w:r>
        <w:rPr>
          <w:rFonts w:ascii="Arial" w:cs="Arial" w:eastAsia="Arial" w:hAnsi="Arial"/>
          <w:sz w:val="15"/>
          <w:szCs w:val="15"/>
          <w:color w:val="1A475F"/>
        </w:rPr>
        <w:t>Reflects experience and contributions of individual NEOs.</w:t>
      </w:r>
    </w:p>
    <w:p>
      <w:pPr>
        <w:spacing w:after="0" w:line="59" w:lineRule="exact"/>
        <w:rPr>
          <w:rFonts w:ascii="Arial" w:cs="Arial" w:eastAsia="Arial" w:hAnsi="Arial"/>
          <w:sz w:val="15"/>
          <w:szCs w:val="15"/>
          <w:color w:val="1A475F"/>
        </w:rPr>
      </w:pPr>
    </w:p>
    <w:p>
      <w:pPr>
        <w:ind w:left="492" w:right="200" w:hanging="230"/>
        <w:spacing w:after="0" w:line="281" w:lineRule="auto"/>
        <w:tabs>
          <w:tab w:leader="none" w:pos="492" w:val="left"/>
        </w:tabs>
        <w:numPr>
          <w:ilvl w:val="1"/>
          <w:numId w:val="49"/>
        </w:numPr>
        <w:rPr>
          <w:rFonts w:ascii="Arial" w:cs="Arial" w:eastAsia="Arial" w:hAnsi="Arial"/>
          <w:sz w:val="15"/>
          <w:szCs w:val="15"/>
          <w:color w:val="1A475F"/>
        </w:rPr>
      </w:pPr>
      <w:r>
        <w:rPr>
          <w:rFonts w:ascii="Arial" w:cs="Arial" w:eastAsia="Arial" w:hAnsi="Arial"/>
          <w:sz w:val="15"/>
          <w:szCs w:val="15"/>
          <w:color w:val="1A475F"/>
        </w:rPr>
        <w:t>Benefits aligned to those generally available to all eligible employees.</w:t>
      </w:r>
    </w:p>
    <w:p>
      <w:pPr>
        <w:spacing w:after="0" w:line="1" w:lineRule="exact"/>
        <w:rPr>
          <w:rFonts w:ascii="Arial" w:cs="Arial" w:eastAsia="Arial" w:hAnsi="Arial"/>
          <w:sz w:val="15"/>
          <w:szCs w:val="15"/>
          <w:color w:val="1A475F"/>
        </w:rPr>
      </w:pPr>
    </w:p>
    <w:p>
      <w:pPr>
        <w:ind w:left="492" w:right="320" w:hanging="230"/>
        <w:spacing w:after="0" w:line="281" w:lineRule="auto"/>
        <w:tabs>
          <w:tab w:leader="none" w:pos="492" w:val="left"/>
        </w:tabs>
        <w:numPr>
          <w:ilvl w:val="1"/>
          <w:numId w:val="49"/>
        </w:numPr>
        <w:rPr>
          <w:rFonts w:ascii="Arial" w:cs="Arial" w:eastAsia="Arial" w:hAnsi="Arial"/>
          <w:sz w:val="15"/>
          <w:szCs w:val="15"/>
          <w:color w:val="FFFFFF"/>
        </w:rPr>
      </w:pPr>
      <w:r>
        <w:rPr>
          <w:rFonts w:ascii="Arial" w:cs="Arial" w:eastAsia="Arial" w:hAnsi="Arial"/>
          <w:sz w:val="15"/>
          <w:szCs w:val="15"/>
          <w:color w:val="FFFFFF"/>
        </w:rPr>
        <w:t>At-risk pay designed to motivate achievement of annual corporate performance goals.</w:t>
      </w:r>
    </w:p>
    <w:p>
      <w:pPr>
        <w:spacing w:after="0" w:line="1" w:lineRule="exact"/>
        <w:rPr>
          <w:rFonts w:ascii="Arial" w:cs="Arial" w:eastAsia="Arial" w:hAnsi="Arial"/>
          <w:sz w:val="15"/>
          <w:szCs w:val="15"/>
          <w:color w:val="FFFFFF"/>
        </w:rPr>
      </w:pPr>
    </w:p>
    <w:p>
      <w:pPr>
        <w:ind w:left="492" w:right="680" w:hanging="230"/>
        <w:spacing w:after="0" w:line="281" w:lineRule="auto"/>
        <w:tabs>
          <w:tab w:leader="none" w:pos="492" w:val="left"/>
        </w:tabs>
        <w:numPr>
          <w:ilvl w:val="1"/>
          <w:numId w:val="49"/>
        </w:numPr>
        <w:rPr>
          <w:rFonts w:ascii="Arial" w:cs="Arial" w:eastAsia="Arial" w:hAnsi="Arial"/>
          <w:sz w:val="15"/>
          <w:szCs w:val="15"/>
          <w:color w:val="FFFFFF"/>
        </w:rPr>
      </w:pPr>
      <w:r>
        <w:rPr>
          <w:rFonts w:ascii="Arial" w:cs="Arial" w:eastAsia="Arial" w:hAnsi="Arial"/>
          <w:sz w:val="15"/>
          <w:szCs w:val="15"/>
          <w:color w:val="FFFFFF"/>
        </w:rPr>
        <w:t>Based on achievement of corporate and individual achievement against stated strategic goals.</w:t>
      </w:r>
    </w:p>
    <w:p>
      <w:pPr>
        <w:spacing w:after="0" w:line="1" w:lineRule="exact"/>
        <w:rPr>
          <w:rFonts w:ascii="Arial" w:cs="Arial" w:eastAsia="Arial" w:hAnsi="Arial"/>
          <w:sz w:val="15"/>
          <w:szCs w:val="15"/>
          <w:color w:val="FFFFFF"/>
        </w:rPr>
      </w:pPr>
    </w:p>
    <w:p>
      <w:pPr>
        <w:ind w:left="492" w:right="400" w:hanging="230"/>
        <w:spacing w:after="0" w:line="281" w:lineRule="auto"/>
        <w:tabs>
          <w:tab w:leader="none" w:pos="492" w:val="left"/>
        </w:tabs>
        <w:numPr>
          <w:ilvl w:val="1"/>
          <w:numId w:val="49"/>
        </w:numPr>
        <w:rPr>
          <w:rFonts w:ascii="Arial" w:cs="Arial" w:eastAsia="Arial" w:hAnsi="Arial"/>
          <w:sz w:val="15"/>
          <w:szCs w:val="15"/>
          <w:color w:val="FFFFFF"/>
        </w:rPr>
      </w:pPr>
      <w:r>
        <w:rPr>
          <w:rFonts w:ascii="Arial" w:cs="Arial" w:eastAsia="Arial" w:hAnsi="Arial"/>
          <w:sz w:val="15"/>
          <w:szCs w:val="15"/>
          <w:color w:val="FFFFFF"/>
        </w:rPr>
        <w:t>Places a greater emphasis on long-term incentive with three-year vesting.</w:t>
      </w:r>
    </w:p>
    <w:p>
      <w:pPr>
        <w:spacing w:after="0" w:line="1" w:lineRule="exact"/>
        <w:rPr>
          <w:rFonts w:ascii="Arial" w:cs="Arial" w:eastAsia="Arial" w:hAnsi="Arial"/>
          <w:sz w:val="15"/>
          <w:szCs w:val="15"/>
          <w:color w:val="FFFFFF"/>
        </w:rPr>
      </w:pPr>
    </w:p>
    <w:p>
      <w:pPr>
        <w:ind w:left="492" w:right="120" w:hanging="230"/>
        <w:spacing w:after="0" w:line="261" w:lineRule="auto"/>
        <w:tabs>
          <w:tab w:leader="none" w:pos="492" w:val="left"/>
        </w:tabs>
        <w:numPr>
          <w:ilvl w:val="1"/>
          <w:numId w:val="49"/>
        </w:numPr>
        <w:rPr>
          <w:rFonts w:ascii="Arial" w:cs="Arial" w:eastAsia="Arial" w:hAnsi="Arial"/>
          <w:sz w:val="15"/>
          <w:szCs w:val="15"/>
          <w:color w:val="FFFFFF"/>
        </w:rPr>
      </w:pPr>
      <w:r>
        <w:rPr>
          <w:rFonts w:ascii="Arial" w:cs="Arial" w:eastAsia="Arial" w:hAnsi="Arial"/>
          <w:sz w:val="15"/>
          <w:szCs w:val="15"/>
          <w:color w:val="FFFFFF"/>
        </w:rPr>
        <w:t>Reflects our focus on long-term value creation and serving to align the interests of our NEOs with those of our shareholders.</w:t>
      </w:r>
    </w:p>
    <w:p>
      <w:pPr>
        <w:spacing w:after="0" w:line="16" w:lineRule="exact"/>
        <w:rPr>
          <w:rFonts w:ascii="Arial" w:cs="Arial" w:eastAsia="Arial" w:hAnsi="Arial"/>
          <w:sz w:val="15"/>
          <w:szCs w:val="15"/>
          <w:color w:val="FFFFFF"/>
        </w:rPr>
      </w:pPr>
    </w:p>
    <w:p>
      <w:pPr>
        <w:ind w:left="492" w:hanging="230"/>
        <w:spacing w:after="0"/>
        <w:tabs>
          <w:tab w:leader="none" w:pos="492" w:val="left"/>
        </w:tabs>
        <w:numPr>
          <w:ilvl w:val="1"/>
          <w:numId w:val="49"/>
        </w:numPr>
        <w:rPr>
          <w:rFonts w:ascii="Arial" w:cs="Arial" w:eastAsia="Arial" w:hAnsi="Arial"/>
          <w:sz w:val="15"/>
          <w:szCs w:val="15"/>
          <w:color w:val="FFFFFF"/>
        </w:rPr>
      </w:pPr>
      <w:r>
        <w:rPr>
          <w:rFonts w:ascii="Arial" w:cs="Arial" w:eastAsia="Arial" w:hAnsi="Arial"/>
          <w:sz w:val="15"/>
          <w:szCs w:val="15"/>
          <w:color w:val="FFFFFF"/>
        </w:rPr>
        <w:t>PRSUs awarded based on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-1951990</wp:posOffset>
            </wp:positionV>
            <wp:extent cx="2874010" cy="22491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74010" cy="2249170"/>
                    </a:xfrm>
                    <a:prstGeom prst="rect">
                      <a:avLst/>
                    </a:prstGeom>
                    <a:noFill/>
                  </pic:spPr>
                </pic:pic>
              </a:graphicData>
            </a:graphic>
          </wp:anchor>
        </w:drawing>
      </w:r>
    </w:p>
    <w:p>
      <w:pPr>
        <w:spacing w:after="0" w:line="545" w:lineRule="exact"/>
        <w:rPr>
          <w:sz w:val="20"/>
          <w:szCs w:val="20"/>
          <w:color w:val="auto"/>
        </w:rPr>
      </w:pPr>
    </w:p>
    <w:p>
      <w:pPr>
        <w:sectPr>
          <w:pgSz w:w="11900" w:h="16838" w:orient="portrait"/>
          <w:cols w:equalWidth="0" w:num="2">
            <w:col w:w="5008" w:space="720"/>
            <w:col w:w="4612"/>
          </w:cols>
          <w:pgMar w:left="320" w:top="434" w:right="1239" w:bottom="1440" w:gutter="0" w:footer="0" w:header="0"/>
          <w:type w:val="continuous"/>
        </w:sectPr>
      </w:pPr>
    </w:p>
    <w:p>
      <w:pPr>
        <w:ind w:left="900" w:right="580" w:firstLine="756"/>
        <w:spacing w:after="0" w:line="261" w:lineRule="auto"/>
        <w:rPr>
          <w:sz w:val="20"/>
          <w:szCs w:val="20"/>
          <w:color w:val="auto"/>
        </w:rPr>
      </w:pPr>
      <w:r>
        <w:rPr>
          <w:rFonts w:ascii="Arial" w:cs="Arial" w:eastAsia="Arial" w:hAnsi="Arial"/>
          <w:sz w:val="15"/>
          <w:szCs w:val="15"/>
          <w:color w:val="1A475F"/>
        </w:rPr>
        <w:t>As shown below, we provide our NEOs a mix of salary, short-term incentives, and long-term equity incentives that put a sizeable portion of their targeted total compensation at-risk. The below chart is based on the total compensation disclosed in the “Summary Compensation Table” elsewhere in this Proxy Statement.</w:t>
      </w:r>
    </w:p>
    <w:p>
      <w:pPr>
        <w:spacing w:after="0" w:line="211" w:lineRule="exact"/>
        <w:rPr>
          <w:sz w:val="20"/>
          <w:szCs w:val="20"/>
          <w:color w:val="auto"/>
        </w:rPr>
      </w:pPr>
    </w:p>
    <w:p>
      <w:pPr>
        <w:ind w:left="2220"/>
        <w:spacing w:after="0"/>
        <w:tabs>
          <w:tab w:leader="none" w:pos="6800" w:val="left"/>
        </w:tabs>
        <w:rPr>
          <w:sz w:val="20"/>
          <w:szCs w:val="20"/>
          <w:color w:val="auto"/>
        </w:rPr>
      </w:pPr>
      <w:r>
        <w:rPr>
          <w:rFonts w:ascii="Arial" w:cs="Arial" w:eastAsia="Arial" w:hAnsi="Arial"/>
          <w:sz w:val="15"/>
          <w:szCs w:val="15"/>
          <w:b w:val="1"/>
          <w:bCs w:val="1"/>
          <w:color w:val="1A475F"/>
        </w:rPr>
        <w:t>CEO Annual 2025 Pay Mix</w:t>
      </w:r>
      <w:r>
        <w:rPr>
          <w:sz w:val="20"/>
          <w:szCs w:val="20"/>
          <w:color w:val="auto"/>
        </w:rPr>
        <w:tab/>
      </w:r>
      <w:r>
        <w:rPr>
          <w:rFonts w:ascii="Arial" w:cs="Arial" w:eastAsia="Arial" w:hAnsi="Arial"/>
          <w:sz w:val="15"/>
          <w:szCs w:val="15"/>
          <w:b w:val="1"/>
          <w:bCs w:val="1"/>
          <w:color w:val="1A475F"/>
        </w:rPr>
        <w:t>Other NEOs Annual 2025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77470</wp:posOffset>
            </wp:positionV>
            <wp:extent cx="1124585" cy="11169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24585" cy="111696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77470</wp:posOffset>
            </wp:positionV>
            <wp:extent cx="1124585" cy="11169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24585" cy="111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00" w:firstLine="756"/>
        <w:spacing w:after="0" w:line="261" w:lineRule="auto"/>
        <w:rPr>
          <w:sz w:val="20"/>
          <w:szCs w:val="20"/>
          <w:color w:val="auto"/>
        </w:rPr>
      </w:pPr>
      <w:r>
        <w:rPr>
          <w:rFonts w:ascii="Arial" w:cs="Arial" w:eastAsia="Arial" w:hAnsi="Arial"/>
          <w:sz w:val="15"/>
          <w:szCs w:val="15"/>
          <w:color w:val="1A475F"/>
        </w:rPr>
        <w:t>Our NEOs are also entitled to certain compensation and benefits upon a qualifying termination of employment pursuant to severance agreements, which are more fully described in “Potential Payments Upon Termination or Change of Control” found elsewhere in this Proxy Statement.</w:t>
      </w:r>
    </w:p>
    <w:p>
      <w:pPr>
        <w:spacing w:after="0" w:line="49" w:lineRule="exact"/>
        <w:rPr>
          <w:sz w:val="20"/>
          <w:szCs w:val="20"/>
          <w:color w:val="auto"/>
        </w:rPr>
      </w:pPr>
    </w:p>
    <w:p>
      <w:pPr>
        <w:ind w:left="900" w:right="60" w:firstLine="756"/>
        <w:spacing w:after="0" w:line="250" w:lineRule="auto"/>
        <w:rPr>
          <w:sz w:val="20"/>
          <w:szCs w:val="20"/>
          <w:color w:val="auto"/>
        </w:rPr>
      </w:pPr>
      <w:r>
        <w:rPr>
          <w:rFonts w:ascii="Arial" w:cs="Arial" w:eastAsia="Arial" w:hAnsi="Arial"/>
          <w:sz w:val="15"/>
          <w:szCs w:val="15"/>
          <w:b w:val="1"/>
          <w:bCs w:val="1"/>
          <w:color w:val="1A475F"/>
        </w:rPr>
        <w:t xml:space="preserve">Salary. </w:t>
      </w:r>
      <w:r>
        <w:rPr>
          <w:rFonts w:ascii="Arial" w:cs="Arial" w:eastAsia="Arial" w:hAnsi="Arial"/>
          <w:sz w:val="15"/>
          <w:szCs w:val="15"/>
          <w:color w:val="1A475F"/>
        </w:rPr>
        <w:t>Salaries for our NEOs provide a fixed, base level of cash compensation. It is our philosophy to maintain a conservative</w:t>
      </w:r>
      <w:r>
        <w:rPr>
          <w:rFonts w:ascii="Arial" w:cs="Arial" w:eastAsia="Arial" w:hAnsi="Arial"/>
          <w:sz w:val="15"/>
          <w:szCs w:val="15"/>
          <w:b w:val="1"/>
          <w:bCs w:val="1"/>
          <w:color w:val="1A475F"/>
        </w:rPr>
        <w:t xml:space="preserve"> </w:t>
      </w:r>
      <w:r>
        <w:rPr>
          <w:rFonts w:ascii="Arial" w:cs="Arial" w:eastAsia="Arial" w:hAnsi="Arial"/>
          <w:sz w:val="15"/>
          <w:szCs w:val="15"/>
          <w:color w:val="1A475F"/>
        </w:rPr>
        <w:t>level of base cash compensation, with greater emphasis placed on short-term and long-term incentive compensation. Salaries are reviewed annually by the Compensation Committee. When reviewing salaries, the Compensation Committee considers factors such as each officer’s individual performance, the Company’s performance as a whole and general industry conditions, but does not assign specific weighting to any factor. Consistent with the philosophy of maintaining a conservative level of base cash compensation, we have generally provided for modest salary increases on an annual basis.</w:t>
      </w:r>
    </w:p>
    <w:p>
      <w:pPr>
        <w:spacing w:after="0" w:line="91"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36</w:t>
        <w:tab/>
        <w:t>|    Bright Horizons </w:t>
      </w:r>
    </w:p>
    <w:p>
      <w:pPr>
        <w:sectPr>
          <w:pgSz w:w="11900" w:h="16838" w:orient="portrait"/>
          <w:cols w:equalWidth="0" w:num="1">
            <w:col w:w="10340"/>
          </w:cols>
          <w:pgMar w:left="320" w:top="434" w:right="12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jc w:val="both"/>
        <w:ind w:left="900" w:right="220" w:firstLine="756"/>
        <w:spacing w:after="0" w:line="261" w:lineRule="auto"/>
        <w:rPr>
          <w:sz w:val="20"/>
          <w:szCs w:val="20"/>
          <w:color w:val="auto"/>
        </w:rPr>
      </w:pPr>
      <w:r>
        <w:rPr>
          <w:rFonts w:ascii="Arial" w:cs="Arial" w:eastAsia="Arial" w:hAnsi="Arial"/>
          <w:sz w:val="15"/>
          <w:szCs w:val="15"/>
          <w:color w:val="1A475F"/>
        </w:rPr>
        <w:t>In 2025, the Compensation Committee approved an increase of 4% in base salaries for our NEOs, which was in line with the U.S. Home Team targeted salary increase of 3% to 4% approved by management. The table below summarizes the salary changes for our NEOs for 2025 as approved by the Compensation Committee:</w:t>
      </w:r>
    </w:p>
    <w:p>
      <w:pPr>
        <w:spacing w:after="0" w:line="165" w:lineRule="exact"/>
        <w:rPr>
          <w:sz w:val="20"/>
          <w:szCs w:val="20"/>
          <w:color w:val="auto"/>
        </w:rPr>
      </w:pPr>
    </w:p>
    <w:tbl>
      <w:tblPr>
        <w:tblLayout w:type="fixed"/>
        <w:tblInd w:w="900" w:type="dxa"/>
        <w:tblCellMar>
          <w:top w:w="0" w:type="dxa"/>
          <w:left w:w="0" w:type="dxa"/>
          <w:bottom w:w="0" w:type="dxa"/>
          <w:right w:w="0" w:type="dxa"/>
        </w:tblCellMar>
      </w:tblPr>
      <w:tr>
        <w:trPr>
          <w:trHeight w:val="202"/>
        </w:trPr>
        <w:tc>
          <w:tcPr>
            <w:tcW w:w="5460" w:type="dxa"/>
            <w:vAlign w:val="bottom"/>
          </w:tcPr>
          <w:p>
            <w:pPr>
              <w:spacing w:after="0"/>
              <w:rPr>
                <w:sz w:val="20"/>
                <w:szCs w:val="20"/>
                <w:color w:val="auto"/>
              </w:rPr>
            </w:pPr>
            <w:r>
              <w:rPr>
                <w:rFonts w:ascii="Arial" w:cs="Arial" w:eastAsia="Arial" w:hAnsi="Arial"/>
                <w:sz w:val="15"/>
                <w:szCs w:val="15"/>
                <w:b w:val="1"/>
                <w:bCs w:val="1"/>
                <w:color w:val="1A475F"/>
              </w:rPr>
              <w:t>Named Executive Officer</w:t>
            </w:r>
          </w:p>
        </w:tc>
        <w:tc>
          <w:tcPr>
            <w:tcW w:w="1340" w:type="dxa"/>
            <w:vAlign w:val="bottom"/>
            <w:gridSpan w:val="2"/>
          </w:tcPr>
          <w:p>
            <w:pPr>
              <w:jc w:val="center"/>
              <w:ind w:left="383"/>
              <w:spacing w:after="0"/>
              <w:rPr>
                <w:sz w:val="20"/>
                <w:szCs w:val="20"/>
                <w:color w:val="auto"/>
              </w:rPr>
            </w:pPr>
            <w:r>
              <w:rPr>
                <w:rFonts w:ascii="Arial" w:cs="Arial" w:eastAsia="Arial" w:hAnsi="Arial"/>
                <w:sz w:val="15"/>
                <w:szCs w:val="15"/>
                <w:b w:val="1"/>
                <w:bCs w:val="1"/>
                <w:color w:val="1A475F"/>
              </w:rPr>
              <w:t>2025 Salary</w:t>
            </w:r>
          </w:p>
        </w:tc>
        <w:tc>
          <w:tcPr>
            <w:tcW w:w="1320" w:type="dxa"/>
            <w:vAlign w:val="bottom"/>
            <w:gridSpan w:val="2"/>
          </w:tcPr>
          <w:p>
            <w:pPr>
              <w:jc w:val="center"/>
              <w:ind w:left="383"/>
              <w:spacing w:after="0"/>
              <w:rPr>
                <w:sz w:val="20"/>
                <w:szCs w:val="20"/>
                <w:color w:val="auto"/>
              </w:rPr>
            </w:pPr>
            <w:r>
              <w:rPr>
                <w:rFonts w:ascii="Arial" w:cs="Arial" w:eastAsia="Arial" w:hAnsi="Arial"/>
                <w:sz w:val="15"/>
                <w:szCs w:val="15"/>
                <w:b w:val="1"/>
                <w:bCs w:val="1"/>
                <w:color w:val="1A475F"/>
              </w:rPr>
              <w:t>2024 Salary</w:t>
            </w:r>
          </w:p>
        </w:tc>
        <w:tc>
          <w:tcPr>
            <w:tcW w:w="1340" w:type="dxa"/>
            <w:vAlign w:val="bottom"/>
            <w:gridSpan w:val="2"/>
          </w:tcPr>
          <w:p>
            <w:pPr>
              <w:jc w:val="center"/>
              <w:ind w:left="383"/>
              <w:spacing w:after="0"/>
              <w:rPr>
                <w:sz w:val="20"/>
                <w:szCs w:val="20"/>
                <w:color w:val="auto"/>
              </w:rPr>
            </w:pPr>
            <w:r>
              <w:rPr>
                <w:rFonts w:ascii="Arial" w:cs="Arial" w:eastAsia="Arial" w:hAnsi="Arial"/>
                <w:sz w:val="15"/>
                <w:szCs w:val="15"/>
                <w:b w:val="1"/>
                <w:bCs w:val="1"/>
                <w:color w:val="1A475F"/>
              </w:rPr>
              <w:t>(%) Change</w:t>
            </w:r>
          </w:p>
        </w:tc>
      </w:tr>
      <w:tr>
        <w:trPr>
          <w:trHeight w:val="165"/>
        </w:trPr>
        <w:tc>
          <w:tcPr>
            <w:tcW w:w="54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color w:val="1A475F"/>
              </w:rPr>
              <w:t>Stephen H. Kramer</w:t>
            </w:r>
          </w:p>
        </w:tc>
        <w:tc>
          <w:tcPr>
            <w:tcW w:w="4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$699,660</w:t>
            </w:r>
          </w:p>
        </w:tc>
        <w:tc>
          <w:tcPr>
            <w:tcW w:w="4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$672,750</w:t>
            </w:r>
          </w:p>
        </w:tc>
        <w:tc>
          <w:tcPr>
            <w:tcW w:w="4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4.0%</w:t>
            </w:r>
          </w:p>
        </w:tc>
      </w:tr>
      <w:tr>
        <w:trPr>
          <w:trHeight w:val="174"/>
        </w:trPr>
        <w:tc>
          <w:tcPr>
            <w:tcW w:w="5460" w:type="dxa"/>
            <w:vAlign w:val="bottom"/>
          </w:tcPr>
          <w:p>
            <w:pPr>
              <w:spacing w:after="0"/>
              <w:rPr>
                <w:sz w:val="20"/>
                <w:szCs w:val="20"/>
                <w:color w:val="auto"/>
              </w:rPr>
            </w:pPr>
            <w:r>
              <w:rPr>
                <w:rFonts w:ascii="Arial" w:cs="Arial" w:eastAsia="Arial" w:hAnsi="Arial"/>
                <w:sz w:val="15"/>
                <w:szCs w:val="15"/>
                <w:color w:val="1A475F"/>
              </w:rPr>
              <w:t>Elizabeth J. Boland</w:t>
            </w:r>
          </w:p>
        </w:tc>
        <w:tc>
          <w:tcPr>
            <w:tcW w:w="1340" w:type="dxa"/>
            <w:vAlign w:val="bottom"/>
            <w:gridSpan w:val="2"/>
          </w:tcPr>
          <w:p>
            <w:pPr>
              <w:jc w:val="center"/>
              <w:ind w:left="383"/>
              <w:spacing w:after="0"/>
              <w:rPr>
                <w:sz w:val="20"/>
                <w:szCs w:val="20"/>
                <w:color w:val="auto"/>
              </w:rPr>
            </w:pPr>
            <w:r>
              <w:rPr>
                <w:rFonts w:ascii="Arial" w:cs="Arial" w:eastAsia="Arial" w:hAnsi="Arial"/>
                <w:sz w:val="15"/>
                <w:szCs w:val="15"/>
                <w:color w:val="1A475F"/>
              </w:rPr>
              <w:t>$430,560</w:t>
            </w:r>
          </w:p>
        </w:tc>
        <w:tc>
          <w:tcPr>
            <w:tcW w:w="1320" w:type="dxa"/>
            <w:vAlign w:val="bottom"/>
            <w:gridSpan w:val="2"/>
          </w:tcPr>
          <w:p>
            <w:pPr>
              <w:jc w:val="center"/>
              <w:ind w:left="363"/>
              <w:spacing w:after="0"/>
              <w:rPr>
                <w:sz w:val="20"/>
                <w:szCs w:val="20"/>
                <w:color w:val="auto"/>
              </w:rPr>
            </w:pPr>
            <w:r>
              <w:rPr>
                <w:rFonts w:ascii="Arial" w:cs="Arial" w:eastAsia="Arial" w:hAnsi="Arial"/>
                <w:sz w:val="15"/>
                <w:szCs w:val="15"/>
                <w:color w:val="1A475F"/>
              </w:rPr>
              <w:t>$414,000</w:t>
            </w:r>
          </w:p>
        </w:tc>
        <w:tc>
          <w:tcPr>
            <w:tcW w:w="1340" w:type="dxa"/>
            <w:vAlign w:val="bottom"/>
            <w:gridSpan w:val="2"/>
          </w:tcPr>
          <w:p>
            <w:pPr>
              <w:jc w:val="center"/>
              <w:ind w:left="383"/>
              <w:spacing w:after="0"/>
              <w:rPr>
                <w:sz w:val="20"/>
                <w:szCs w:val="20"/>
                <w:color w:val="auto"/>
              </w:rPr>
            </w:pPr>
            <w:r>
              <w:rPr>
                <w:rFonts w:ascii="Arial" w:cs="Arial" w:eastAsia="Arial" w:hAnsi="Arial"/>
                <w:sz w:val="15"/>
                <w:szCs w:val="15"/>
                <w:color w:val="1A475F"/>
              </w:rPr>
              <w:t>4.0%</w:t>
            </w:r>
          </w:p>
        </w:tc>
      </w:tr>
      <w:tr>
        <w:trPr>
          <w:trHeight w:val="174"/>
        </w:trPr>
        <w:tc>
          <w:tcPr>
            <w:tcW w:w="5460" w:type="dxa"/>
            <w:vAlign w:val="bottom"/>
            <w:shd w:val="clear" w:color="auto" w:fill="CCEEFF"/>
          </w:tcPr>
          <w:p>
            <w:pPr>
              <w:spacing w:after="0"/>
              <w:rPr>
                <w:sz w:val="20"/>
                <w:szCs w:val="20"/>
                <w:color w:val="auto"/>
              </w:rPr>
            </w:pPr>
            <w:r>
              <w:rPr>
                <w:rFonts w:ascii="Arial" w:cs="Arial" w:eastAsia="Arial" w:hAnsi="Arial"/>
                <w:sz w:val="15"/>
                <w:szCs w:val="15"/>
                <w:color w:val="1A475F"/>
              </w:rPr>
              <w:t>Mary Lou Burke Afonso</w:t>
            </w:r>
          </w:p>
        </w:tc>
        <w:tc>
          <w:tcPr>
            <w:tcW w:w="1340" w:type="dxa"/>
            <w:vAlign w:val="bottom"/>
            <w:gridSpan w:val="2"/>
            <w:shd w:val="clear" w:color="auto" w:fill="CCEEFF"/>
          </w:tcPr>
          <w:p>
            <w:pPr>
              <w:jc w:val="center"/>
              <w:ind w:left="383"/>
              <w:spacing w:after="0"/>
              <w:rPr>
                <w:sz w:val="20"/>
                <w:szCs w:val="20"/>
                <w:color w:val="auto"/>
              </w:rPr>
            </w:pPr>
            <w:r>
              <w:rPr>
                <w:rFonts w:ascii="Arial" w:cs="Arial" w:eastAsia="Arial" w:hAnsi="Arial"/>
                <w:sz w:val="15"/>
                <w:szCs w:val="15"/>
                <w:color w:val="1A475F"/>
              </w:rPr>
              <w:t>$430,560</w:t>
            </w:r>
          </w:p>
        </w:tc>
        <w:tc>
          <w:tcPr>
            <w:tcW w:w="1320" w:type="dxa"/>
            <w:vAlign w:val="bottom"/>
            <w:gridSpan w:val="2"/>
            <w:shd w:val="clear" w:color="auto" w:fill="CCEEFF"/>
          </w:tcPr>
          <w:p>
            <w:pPr>
              <w:jc w:val="center"/>
              <w:ind w:left="363"/>
              <w:spacing w:after="0"/>
              <w:rPr>
                <w:sz w:val="20"/>
                <w:szCs w:val="20"/>
                <w:color w:val="auto"/>
              </w:rPr>
            </w:pPr>
            <w:r>
              <w:rPr>
                <w:rFonts w:ascii="Arial" w:cs="Arial" w:eastAsia="Arial" w:hAnsi="Arial"/>
                <w:sz w:val="15"/>
                <w:szCs w:val="15"/>
                <w:color w:val="1A475F"/>
              </w:rPr>
              <w:t>$414,000</w:t>
            </w:r>
          </w:p>
        </w:tc>
        <w:tc>
          <w:tcPr>
            <w:tcW w:w="1340" w:type="dxa"/>
            <w:vAlign w:val="bottom"/>
            <w:gridSpan w:val="2"/>
            <w:shd w:val="clear" w:color="auto" w:fill="CCEEFF"/>
          </w:tcPr>
          <w:p>
            <w:pPr>
              <w:jc w:val="center"/>
              <w:ind w:left="383"/>
              <w:spacing w:after="0"/>
              <w:rPr>
                <w:sz w:val="20"/>
                <w:szCs w:val="20"/>
                <w:color w:val="auto"/>
              </w:rPr>
            </w:pPr>
            <w:r>
              <w:rPr>
                <w:rFonts w:ascii="Arial" w:cs="Arial" w:eastAsia="Arial" w:hAnsi="Arial"/>
                <w:sz w:val="15"/>
                <w:szCs w:val="15"/>
                <w:color w:val="1A475F"/>
              </w:rPr>
              <w:t>4.0%</w:t>
            </w:r>
          </w:p>
        </w:tc>
      </w:tr>
      <w:tr>
        <w:trPr>
          <w:trHeight w:val="174"/>
        </w:trPr>
        <w:tc>
          <w:tcPr>
            <w:tcW w:w="5460" w:type="dxa"/>
            <w:vAlign w:val="bottom"/>
          </w:tcPr>
          <w:p>
            <w:pPr>
              <w:spacing w:after="0"/>
              <w:rPr>
                <w:sz w:val="20"/>
                <w:szCs w:val="20"/>
                <w:color w:val="auto"/>
              </w:rPr>
            </w:pPr>
            <w:r>
              <w:rPr>
                <w:rFonts w:ascii="Arial" w:cs="Arial" w:eastAsia="Arial" w:hAnsi="Arial"/>
                <w:sz w:val="15"/>
                <w:szCs w:val="15"/>
                <w:color w:val="1A475F"/>
              </w:rPr>
              <w:t>Mandy Berman</w:t>
            </w:r>
          </w:p>
        </w:tc>
        <w:tc>
          <w:tcPr>
            <w:tcW w:w="1340" w:type="dxa"/>
            <w:vAlign w:val="bottom"/>
            <w:gridSpan w:val="2"/>
          </w:tcPr>
          <w:p>
            <w:pPr>
              <w:jc w:val="center"/>
              <w:ind w:left="383"/>
              <w:spacing w:after="0"/>
              <w:rPr>
                <w:sz w:val="20"/>
                <w:szCs w:val="20"/>
                <w:color w:val="auto"/>
              </w:rPr>
            </w:pPr>
            <w:r>
              <w:rPr>
                <w:rFonts w:ascii="Arial" w:cs="Arial" w:eastAsia="Arial" w:hAnsi="Arial"/>
                <w:sz w:val="15"/>
                <w:szCs w:val="15"/>
                <w:color w:val="1A475F"/>
              </w:rPr>
              <w:t>$430,560</w:t>
            </w:r>
          </w:p>
        </w:tc>
        <w:tc>
          <w:tcPr>
            <w:tcW w:w="1320" w:type="dxa"/>
            <w:vAlign w:val="bottom"/>
            <w:gridSpan w:val="2"/>
          </w:tcPr>
          <w:p>
            <w:pPr>
              <w:jc w:val="center"/>
              <w:ind w:left="363"/>
              <w:spacing w:after="0"/>
              <w:rPr>
                <w:sz w:val="20"/>
                <w:szCs w:val="20"/>
                <w:color w:val="auto"/>
              </w:rPr>
            </w:pPr>
            <w:r>
              <w:rPr>
                <w:rFonts w:ascii="Arial" w:cs="Arial" w:eastAsia="Arial" w:hAnsi="Arial"/>
                <w:sz w:val="15"/>
                <w:szCs w:val="15"/>
                <w:color w:val="1A475F"/>
              </w:rPr>
              <w:t>$414,000</w:t>
            </w:r>
          </w:p>
        </w:tc>
        <w:tc>
          <w:tcPr>
            <w:tcW w:w="1340" w:type="dxa"/>
            <w:vAlign w:val="bottom"/>
            <w:gridSpan w:val="2"/>
          </w:tcPr>
          <w:p>
            <w:pPr>
              <w:jc w:val="center"/>
              <w:ind w:left="383"/>
              <w:spacing w:after="0"/>
              <w:rPr>
                <w:sz w:val="20"/>
                <w:szCs w:val="20"/>
                <w:color w:val="auto"/>
              </w:rPr>
            </w:pPr>
            <w:r>
              <w:rPr>
                <w:rFonts w:ascii="Arial" w:cs="Arial" w:eastAsia="Arial" w:hAnsi="Arial"/>
                <w:sz w:val="15"/>
                <w:szCs w:val="15"/>
                <w:color w:val="1A475F"/>
              </w:rPr>
              <w:t>4.0%</w:t>
            </w:r>
          </w:p>
        </w:tc>
      </w:tr>
      <w:tr>
        <w:trPr>
          <w:trHeight w:val="174"/>
        </w:trPr>
        <w:tc>
          <w:tcPr>
            <w:tcW w:w="5460" w:type="dxa"/>
            <w:vAlign w:val="bottom"/>
            <w:shd w:val="clear" w:color="auto" w:fill="CCEEFF"/>
          </w:tcPr>
          <w:p>
            <w:pPr>
              <w:spacing w:after="0"/>
              <w:rPr>
                <w:sz w:val="20"/>
                <w:szCs w:val="20"/>
                <w:color w:val="auto"/>
              </w:rPr>
            </w:pPr>
            <w:r>
              <w:rPr>
                <w:rFonts w:ascii="Arial" w:cs="Arial" w:eastAsia="Arial" w:hAnsi="Arial"/>
                <w:sz w:val="15"/>
                <w:szCs w:val="15"/>
                <w:color w:val="1A475F"/>
              </w:rPr>
              <w:t>Rosamund Marshall</w:t>
            </w:r>
          </w:p>
        </w:tc>
        <w:tc>
          <w:tcPr>
            <w:tcW w:w="1340" w:type="dxa"/>
            <w:vAlign w:val="bottom"/>
            <w:gridSpan w:val="2"/>
            <w:shd w:val="clear" w:color="auto" w:fill="CCEEFF"/>
          </w:tcPr>
          <w:p>
            <w:pPr>
              <w:jc w:val="center"/>
              <w:ind w:left="383"/>
              <w:spacing w:after="0"/>
              <w:rPr>
                <w:sz w:val="20"/>
                <w:szCs w:val="20"/>
                <w:color w:val="auto"/>
              </w:rPr>
            </w:pPr>
            <w:r>
              <w:rPr>
                <w:rFonts w:ascii="Arial" w:cs="Arial" w:eastAsia="Arial" w:hAnsi="Arial"/>
                <w:sz w:val="15"/>
                <w:szCs w:val="15"/>
                <w:color w:val="1A475F"/>
              </w:rPr>
              <w:t>£344,450</w:t>
            </w:r>
          </w:p>
        </w:tc>
        <w:tc>
          <w:tcPr>
            <w:tcW w:w="1320" w:type="dxa"/>
            <w:vAlign w:val="bottom"/>
            <w:gridSpan w:val="2"/>
            <w:shd w:val="clear" w:color="auto" w:fill="CCEEFF"/>
          </w:tcPr>
          <w:p>
            <w:pPr>
              <w:jc w:val="center"/>
              <w:ind w:left="363"/>
              <w:spacing w:after="0"/>
              <w:rPr>
                <w:sz w:val="20"/>
                <w:szCs w:val="20"/>
                <w:color w:val="auto"/>
              </w:rPr>
            </w:pPr>
            <w:r>
              <w:rPr>
                <w:rFonts w:ascii="Arial" w:cs="Arial" w:eastAsia="Arial" w:hAnsi="Arial"/>
                <w:sz w:val="15"/>
                <w:szCs w:val="15"/>
                <w:color w:val="1A475F"/>
              </w:rPr>
              <w:t>£331,200</w:t>
            </w:r>
          </w:p>
        </w:tc>
        <w:tc>
          <w:tcPr>
            <w:tcW w:w="1340" w:type="dxa"/>
            <w:vAlign w:val="bottom"/>
            <w:gridSpan w:val="2"/>
            <w:shd w:val="clear" w:color="auto" w:fill="CCEEFF"/>
          </w:tcPr>
          <w:p>
            <w:pPr>
              <w:jc w:val="center"/>
              <w:ind w:left="383"/>
              <w:spacing w:after="0"/>
              <w:rPr>
                <w:sz w:val="20"/>
                <w:szCs w:val="20"/>
                <w:color w:val="auto"/>
              </w:rPr>
            </w:pPr>
            <w:r>
              <w:rPr>
                <w:rFonts w:ascii="Arial" w:cs="Arial" w:eastAsia="Arial" w:hAnsi="Arial"/>
                <w:sz w:val="15"/>
                <w:szCs w:val="15"/>
                <w:color w:val="1A475F"/>
              </w:rPr>
              <w:t>4.0%</w:t>
            </w:r>
          </w:p>
        </w:tc>
      </w:tr>
    </w:tbl>
    <w:p>
      <w:pPr>
        <w:spacing w:after="0" w:line="192" w:lineRule="exact"/>
        <w:rPr>
          <w:sz w:val="20"/>
          <w:szCs w:val="20"/>
          <w:color w:val="auto"/>
        </w:rPr>
      </w:pPr>
    </w:p>
    <w:p>
      <w:pPr>
        <w:ind w:left="900" w:right="4640" w:firstLine="557"/>
        <w:spacing w:after="0" w:line="248" w:lineRule="auto"/>
        <w:tabs>
          <w:tab w:leader="none" w:pos="1610" w:val="left"/>
        </w:tabs>
        <w:numPr>
          <w:ilvl w:val="0"/>
          <w:numId w:val="50"/>
        </w:numPr>
        <w:rPr>
          <w:rFonts w:ascii="Arial" w:cs="Arial" w:eastAsia="Arial" w:hAnsi="Arial"/>
          <w:sz w:val="15"/>
          <w:szCs w:val="15"/>
          <w:b w:val="1"/>
          <w:bCs w:val="1"/>
          <w:color w:val="1A475F"/>
        </w:rPr>
      </w:pPr>
      <w:r>
        <w:rPr>
          <w:rFonts w:ascii="Arial" w:cs="Arial" w:eastAsia="Arial" w:hAnsi="Arial"/>
          <w:sz w:val="15"/>
          <w:szCs w:val="15"/>
          <w:b w:val="1"/>
          <w:bCs w:val="1"/>
          <w:color w:val="1A475F"/>
        </w:rPr>
        <w:t xml:space="preserve">  Annual Cash Bonus. </w:t>
      </w:r>
      <w:r>
        <w:rPr>
          <w:rFonts w:ascii="Arial" w:cs="Arial" w:eastAsia="Arial" w:hAnsi="Arial"/>
          <w:sz w:val="15"/>
          <w:szCs w:val="15"/>
          <w:color w:val="1A475F"/>
        </w:rPr>
        <w:t>Our annual cash bonus program</w:t>
      </w:r>
      <w:r>
        <w:rPr>
          <w:rFonts w:ascii="Arial" w:cs="Arial" w:eastAsia="Arial" w:hAnsi="Arial"/>
          <w:sz w:val="15"/>
          <w:szCs w:val="15"/>
          <w:b w:val="1"/>
          <w:bCs w:val="1"/>
          <w:color w:val="1A475F"/>
        </w:rPr>
        <w:t xml:space="preserve"> </w:t>
      </w:r>
      <w:r>
        <w:rPr>
          <w:rFonts w:ascii="Arial" w:cs="Arial" w:eastAsia="Arial" w:hAnsi="Arial"/>
          <w:sz w:val="15"/>
          <w:szCs w:val="15"/>
          <w:color w:val="1A475F"/>
        </w:rPr>
        <w:t>under our Annual Incentive Plan was established to promote and reward the achievement of key strategic and business goals as well as individual performance and is designed to motivate our executive officers to meet or exceed annual performance goals and ensure that a portion of each NEOs’ annual compensation is at-risk and dependent on overall company performance.</w:t>
      </w:r>
    </w:p>
    <w:p>
      <w:pPr>
        <w:spacing w:after="0" w:line="178" w:lineRule="exact"/>
        <w:rPr>
          <w:rFonts w:ascii="Arial" w:cs="Arial" w:eastAsia="Arial" w:hAnsi="Arial"/>
          <w:sz w:val="15"/>
          <w:szCs w:val="15"/>
          <w:b w:val="1"/>
          <w:bCs w:val="1"/>
          <w:color w:val="1A475F"/>
        </w:rPr>
      </w:pPr>
    </w:p>
    <w:p>
      <w:pPr>
        <w:ind w:left="900" w:right="4780" w:firstLine="557"/>
        <w:spacing w:after="0" w:line="255" w:lineRule="auto"/>
        <w:tabs>
          <w:tab w:leader="none" w:pos="1610" w:val="left"/>
        </w:tabs>
        <w:numPr>
          <w:ilvl w:val="0"/>
          <w:numId w:val="50"/>
        </w:numPr>
        <w:rPr>
          <w:rFonts w:ascii="Arial" w:cs="Arial" w:eastAsia="Arial" w:hAnsi="Arial"/>
          <w:sz w:val="15"/>
          <w:szCs w:val="15"/>
          <w:color w:val="1A475F"/>
        </w:rPr>
      </w:pPr>
      <w:r>
        <w:rPr>
          <w:rFonts w:ascii="Arial" w:cs="Arial" w:eastAsia="Arial" w:hAnsi="Arial"/>
          <w:sz w:val="15"/>
          <w:szCs w:val="15"/>
          <w:color w:val="1A475F"/>
        </w:rPr>
        <w:t>  For 2025, 50% of the cash bonus awards granted were based on the achievement of pre-established corporate performance goals and 50% were based on a qualitative assessment of individual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-1300480</wp:posOffset>
            </wp:positionV>
            <wp:extent cx="1852295" cy="12274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52295" cy="1227455"/>
                    </a:xfrm>
                    <a:prstGeom prst="rect">
                      <a:avLst/>
                    </a:prstGeom>
                    <a:noFill/>
                  </pic:spPr>
                </pic:pic>
              </a:graphicData>
            </a:graphic>
          </wp:anchor>
        </w:drawing>
      </w:r>
    </w:p>
    <w:p>
      <w:pPr>
        <w:spacing w:after="0" w:line="46" w:lineRule="exact"/>
        <w:rPr>
          <w:sz w:val="20"/>
          <w:szCs w:val="20"/>
          <w:color w:val="auto"/>
        </w:rPr>
      </w:pPr>
    </w:p>
    <w:p>
      <w:pPr>
        <w:ind w:left="900" w:right="120" w:firstLine="756"/>
        <w:spacing w:after="0" w:line="251" w:lineRule="auto"/>
        <w:rPr>
          <w:sz w:val="20"/>
          <w:szCs w:val="20"/>
          <w:color w:val="auto"/>
        </w:rPr>
      </w:pPr>
      <w:r>
        <w:rPr>
          <w:rFonts w:ascii="Arial" w:cs="Arial" w:eastAsia="Arial" w:hAnsi="Arial"/>
          <w:sz w:val="15"/>
          <w:szCs w:val="15"/>
          <w:color w:val="1A475F"/>
        </w:rPr>
        <w:t>Under the annual cash bonus program, each NEO receives a target award opportunity expressed as a percentage of salary. Each executive’s target award opportunity is established by the Compensation Committee based on the individual’s scope of responsibilities and his or her potential contributions to the achievement of the Company’s strategic goals. The Compensation Committee determined not to change target award opportunities from 2024 to 2025. The table below summarizes the target award bonus opportunity for our NEOs for 2025 as approved by the Compensation Committee:</w:t>
      </w:r>
    </w:p>
    <w:p>
      <w:pPr>
        <w:spacing w:after="0" w:line="177"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1A475F"/>
                <w:w w:val="97"/>
              </w:rPr>
              <w:t>2025 Target Bonus</w:t>
            </w:r>
          </w:p>
        </w:tc>
        <w:tc>
          <w:tcPr>
            <w:tcW w:w="9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1A475F"/>
                <w:w w:val="98"/>
              </w:rPr>
              <w:t>2024 Target Bonus</w:t>
            </w:r>
          </w:p>
        </w:tc>
        <w:tc>
          <w:tcPr>
            <w:tcW w:w="0" w:type="dxa"/>
            <w:vAlign w:val="bottom"/>
          </w:tcPr>
          <w:p>
            <w:pPr>
              <w:spacing w:after="0"/>
              <w:rPr>
                <w:sz w:val="1"/>
                <w:szCs w:val="1"/>
                <w:color w:val="auto"/>
              </w:rPr>
            </w:pPr>
          </w:p>
        </w:tc>
      </w:tr>
      <w:tr>
        <w:trPr>
          <w:trHeight w:val="162"/>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1A475F"/>
              </w:rPr>
              <w:t>Named Executive Officer</w:t>
            </w:r>
          </w:p>
        </w:tc>
        <w:tc>
          <w:tcPr>
            <w:tcW w:w="9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1A475F"/>
                <w:w w:val="97"/>
              </w:rPr>
              <w:t>Opportunity</w:t>
            </w:r>
          </w:p>
        </w:tc>
        <w:tc>
          <w:tcPr>
            <w:tcW w:w="9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1A475F"/>
                <w:w w:val="99"/>
              </w:rPr>
              <w:t>Opportunity</w:t>
            </w:r>
          </w:p>
        </w:tc>
        <w:tc>
          <w:tcPr>
            <w:tcW w:w="0" w:type="dxa"/>
            <w:vAlign w:val="bottom"/>
          </w:tcPr>
          <w:p>
            <w:pPr>
              <w:spacing w:after="0"/>
              <w:rPr>
                <w:sz w:val="1"/>
                <w:szCs w:val="1"/>
                <w:color w:val="auto"/>
              </w:rPr>
            </w:pPr>
          </w:p>
        </w:tc>
      </w:tr>
      <w:tr>
        <w:trPr>
          <w:trHeight w:val="174"/>
        </w:trPr>
        <w:tc>
          <w:tcPr>
            <w:tcW w:w="3940" w:type="dxa"/>
            <w:vAlign w:val="bottom"/>
            <w:vMerge w:val="continue"/>
          </w:tcPr>
          <w:p>
            <w:pPr>
              <w:spacing w:after="0"/>
              <w:rPr>
                <w:sz w:val="15"/>
                <w:szCs w:val="15"/>
                <w:color w:val="auto"/>
              </w:rPr>
            </w:pPr>
          </w:p>
        </w:tc>
        <w:tc>
          <w:tcPr>
            <w:tcW w:w="2380" w:type="dxa"/>
            <w:vAlign w:val="bottom"/>
            <w:gridSpan w:val="2"/>
          </w:tcPr>
          <w:p>
            <w:pPr>
              <w:ind w:left="980"/>
              <w:spacing w:after="0"/>
              <w:rPr>
                <w:sz w:val="20"/>
                <w:szCs w:val="20"/>
                <w:color w:val="auto"/>
              </w:rPr>
            </w:pPr>
            <w:r>
              <w:rPr>
                <w:rFonts w:ascii="Arial" w:cs="Arial" w:eastAsia="Arial" w:hAnsi="Arial"/>
                <w:sz w:val="14"/>
                <w:szCs w:val="14"/>
                <w:b w:val="1"/>
                <w:bCs w:val="1"/>
                <w:color w:val="1A475F"/>
              </w:rPr>
              <w:t xml:space="preserve">      (% of Salary)    </w:t>
            </w:r>
          </w:p>
        </w:tc>
        <w:tc>
          <w:tcPr>
            <w:tcW w:w="2380" w:type="dxa"/>
            <w:vAlign w:val="bottom"/>
            <w:gridSpan w:val="2"/>
          </w:tcPr>
          <w:p>
            <w:pPr>
              <w:ind w:left="960"/>
              <w:spacing w:after="0"/>
              <w:rPr>
                <w:sz w:val="20"/>
                <w:szCs w:val="20"/>
                <w:color w:val="auto"/>
              </w:rPr>
            </w:pPr>
            <w:r>
              <w:rPr>
                <w:rFonts w:ascii="Arial" w:cs="Arial" w:eastAsia="Arial" w:hAnsi="Arial"/>
                <w:sz w:val="14"/>
                <w:szCs w:val="14"/>
                <w:b w:val="1"/>
                <w:bCs w:val="1"/>
                <w:color w:val="1A475F"/>
              </w:rPr>
              <w:t xml:space="preserve">      (% of Salary)    </w:t>
            </w:r>
          </w:p>
        </w:tc>
        <w:tc>
          <w:tcPr>
            <w:tcW w:w="0" w:type="dxa"/>
            <w:vAlign w:val="bottom"/>
          </w:tcPr>
          <w:p>
            <w:pPr>
              <w:spacing w:after="0"/>
              <w:rPr>
                <w:sz w:val="1"/>
                <w:szCs w:val="1"/>
                <w:color w:val="auto"/>
              </w:rPr>
            </w:pPr>
          </w:p>
        </w:tc>
      </w:tr>
      <w:tr>
        <w:trPr>
          <w:trHeight w:val="165"/>
        </w:trPr>
        <w:tc>
          <w:tcPr>
            <w:tcW w:w="394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color w:val="1A475F"/>
              </w:rPr>
              <w:t>Stephen H. Kramer</w:t>
            </w:r>
          </w:p>
        </w:tc>
        <w:tc>
          <w:tcPr>
            <w:tcW w:w="9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w w:val="98"/>
              </w:rPr>
              <w:t>145%</w:t>
            </w:r>
          </w:p>
        </w:tc>
        <w:tc>
          <w:tcPr>
            <w:tcW w:w="96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145%</w:t>
            </w:r>
          </w:p>
        </w:tc>
        <w:tc>
          <w:tcPr>
            <w:tcW w:w="0" w:type="dxa"/>
            <w:vAlign w:val="bottom"/>
          </w:tcPr>
          <w:p>
            <w:pPr>
              <w:spacing w:after="0"/>
              <w:rPr>
                <w:sz w:val="1"/>
                <w:szCs w:val="1"/>
                <w:color w:val="auto"/>
              </w:rPr>
            </w:pPr>
          </w:p>
        </w:tc>
      </w:tr>
      <w:tr>
        <w:trPr>
          <w:trHeight w:val="174"/>
        </w:trPr>
        <w:tc>
          <w:tcPr>
            <w:tcW w:w="3940" w:type="dxa"/>
            <w:vAlign w:val="bottom"/>
          </w:tcPr>
          <w:p>
            <w:pPr>
              <w:spacing w:after="0"/>
              <w:rPr>
                <w:sz w:val="20"/>
                <w:szCs w:val="20"/>
                <w:color w:val="auto"/>
              </w:rPr>
            </w:pPr>
            <w:r>
              <w:rPr>
                <w:rFonts w:ascii="Arial" w:cs="Arial" w:eastAsia="Arial" w:hAnsi="Arial"/>
                <w:sz w:val="15"/>
                <w:szCs w:val="15"/>
                <w:color w:val="1A475F"/>
              </w:rPr>
              <w:t>Elizabeth J. Boland</w:t>
            </w:r>
          </w:p>
        </w:tc>
        <w:tc>
          <w:tcPr>
            <w:tcW w:w="2380" w:type="dxa"/>
            <w:vAlign w:val="bottom"/>
            <w:gridSpan w:val="2"/>
          </w:tcPr>
          <w:p>
            <w:pPr>
              <w:jc w:val="center"/>
              <w:ind w:left="884"/>
              <w:spacing w:after="0"/>
              <w:rPr>
                <w:sz w:val="20"/>
                <w:szCs w:val="20"/>
                <w:color w:val="auto"/>
              </w:rPr>
            </w:pPr>
            <w:r>
              <w:rPr>
                <w:rFonts w:ascii="Arial" w:cs="Arial" w:eastAsia="Arial" w:hAnsi="Arial"/>
                <w:sz w:val="15"/>
                <w:szCs w:val="15"/>
                <w:color w:val="1A475F"/>
                <w:w w:val="98"/>
              </w:rPr>
              <w:t>100%</w:t>
            </w:r>
          </w:p>
        </w:tc>
        <w:tc>
          <w:tcPr>
            <w:tcW w:w="2380" w:type="dxa"/>
            <w:vAlign w:val="bottom"/>
            <w:gridSpan w:val="2"/>
          </w:tcPr>
          <w:p>
            <w:pPr>
              <w:jc w:val="center"/>
              <w:ind w:left="864"/>
              <w:spacing w:after="0"/>
              <w:rPr>
                <w:sz w:val="20"/>
                <w:szCs w:val="20"/>
                <w:color w:val="auto"/>
              </w:rPr>
            </w:pPr>
            <w:r>
              <w:rPr>
                <w:rFonts w:ascii="Arial" w:cs="Arial" w:eastAsia="Arial" w:hAnsi="Arial"/>
                <w:sz w:val="15"/>
                <w:szCs w:val="15"/>
                <w:color w:val="1A475F"/>
              </w:rPr>
              <w:t>100%</w:t>
            </w:r>
          </w:p>
        </w:tc>
        <w:tc>
          <w:tcPr>
            <w:tcW w:w="0" w:type="dxa"/>
            <w:vAlign w:val="bottom"/>
          </w:tcPr>
          <w:p>
            <w:pPr>
              <w:spacing w:after="0"/>
              <w:rPr>
                <w:sz w:val="1"/>
                <w:szCs w:val="1"/>
                <w:color w:val="auto"/>
              </w:rPr>
            </w:pPr>
          </w:p>
        </w:tc>
      </w:tr>
      <w:tr>
        <w:trPr>
          <w:trHeight w:val="174"/>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1A475F"/>
              </w:rPr>
              <w:t>Mary Lou Burke Afonso</w:t>
            </w:r>
          </w:p>
        </w:tc>
        <w:tc>
          <w:tcPr>
            <w:tcW w:w="2380" w:type="dxa"/>
            <w:vAlign w:val="bottom"/>
            <w:gridSpan w:val="2"/>
            <w:shd w:val="clear" w:color="auto" w:fill="CCEEFF"/>
          </w:tcPr>
          <w:p>
            <w:pPr>
              <w:jc w:val="center"/>
              <w:ind w:left="884"/>
              <w:spacing w:after="0"/>
              <w:rPr>
                <w:sz w:val="20"/>
                <w:szCs w:val="20"/>
                <w:color w:val="auto"/>
              </w:rPr>
            </w:pPr>
            <w:r>
              <w:rPr>
                <w:rFonts w:ascii="Arial" w:cs="Arial" w:eastAsia="Arial" w:hAnsi="Arial"/>
                <w:sz w:val="15"/>
                <w:szCs w:val="15"/>
                <w:color w:val="1A475F"/>
                <w:w w:val="98"/>
              </w:rPr>
              <w:t>100%</w:t>
            </w:r>
          </w:p>
        </w:tc>
        <w:tc>
          <w:tcPr>
            <w:tcW w:w="2380" w:type="dxa"/>
            <w:vAlign w:val="bottom"/>
            <w:gridSpan w:val="2"/>
            <w:shd w:val="clear" w:color="auto" w:fill="CCEEFF"/>
          </w:tcPr>
          <w:p>
            <w:pPr>
              <w:jc w:val="center"/>
              <w:ind w:left="864"/>
              <w:spacing w:after="0"/>
              <w:rPr>
                <w:sz w:val="20"/>
                <w:szCs w:val="20"/>
                <w:color w:val="auto"/>
              </w:rPr>
            </w:pPr>
            <w:r>
              <w:rPr>
                <w:rFonts w:ascii="Arial" w:cs="Arial" w:eastAsia="Arial" w:hAnsi="Arial"/>
                <w:sz w:val="15"/>
                <w:szCs w:val="15"/>
                <w:color w:val="1A475F"/>
              </w:rPr>
              <w:t>100%</w:t>
            </w:r>
          </w:p>
        </w:tc>
        <w:tc>
          <w:tcPr>
            <w:tcW w:w="0" w:type="dxa"/>
            <w:vAlign w:val="bottom"/>
          </w:tcPr>
          <w:p>
            <w:pPr>
              <w:spacing w:after="0"/>
              <w:rPr>
                <w:sz w:val="1"/>
                <w:szCs w:val="1"/>
                <w:color w:val="auto"/>
              </w:rPr>
            </w:pPr>
          </w:p>
        </w:tc>
      </w:tr>
      <w:tr>
        <w:trPr>
          <w:trHeight w:val="174"/>
        </w:trPr>
        <w:tc>
          <w:tcPr>
            <w:tcW w:w="3940" w:type="dxa"/>
            <w:vAlign w:val="bottom"/>
          </w:tcPr>
          <w:p>
            <w:pPr>
              <w:spacing w:after="0"/>
              <w:rPr>
                <w:sz w:val="20"/>
                <w:szCs w:val="20"/>
                <w:color w:val="auto"/>
              </w:rPr>
            </w:pPr>
            <w:r>
              <w:rPr>
                <w:rFonts w:ascii="Arial" w:cs="Arial" w:eastAsia="Arial" w:hAnsi="Arial"/>
                <w:sz w:val="15"/>
                <w:szCs w:val="15"/>
                <w:color w:val="1A475F"/>
              </w:rPr>
              <w:t>Mandy Berman</w:t>
            </w:r>
          </w:p>
        </w:tc>
        <w:tc>
          <w:tcPr>
            <w:tcW w:w="2380" w:type="dxa"/>
            <w:vAlign w:val="bottom"/>
            <w:gridSpan w:val="2"/>
          </w:tcPr>
          <w:p>
            <w:pPr>
              <w:jc w:val="center"/>
              <w:ind w:left="884"/>
              <w:spacing w:after="0"/>
              <w:rPr>
                <w:sz w:val="20"/>
                <w:szCs w:val="20"/>
                <w:color w:val="auto"/>
              </w:rPr>
            </w:pPr>
            <w:r>
              <w:rPr>
                <w:rFonts w:ascii="Arial" w:cs="Arial" w:eastAsia="Arial" w:hAnsi="Arial"/>
                <w:sz w:val="15"/>
                <w:szCs w:val="15"/>
                <w:color w:val="1A475F"/>
                <w:w w:val="98"/>
              </w:rPr>
              <w:t>100%</w:t>
            </w:r>
          </w:p>
        </w:tc>
        <w:tc>
          <w:tcPr>
            <w:tcW w:w="2380" w:type="dxa"/>
            <w:vAlign w:val="bottom"/>
            <w:gridSpan w:val="2"/>
          </w:tcPr>
          <w:p>
            <w:pPr>
              <w:jc w:val="center"/>
              <w:ind w:left="864"/>
              <w:spacing w:after="0"/>
              <w:rPr>
                <w:sz w:val="20"/>
                <w:szCs w:val="20"/>
                <w:color w:val="auto"/>
              </w:rPr>
            </w:pPr>
            <w:r>
              <w:rPr>
                <w:rFonts w:ascii="Arial" w:cs="Arial" w:eastAsia="Arial" w:hAnsi="Arial"/>
                <w:sz w:val="15"/>
                <w:szCs w:val="15"/>
                <w:color w:val="1A475F"/>
              </w:rPr>
              <w:t>100%</w:t>
            </w:r>
          </w:p>
        </w:tc>
        <w:tc>
          <w:tcPr>
            <w:tcW w:w="0" w:type="dxa"/>
            <w:vAlign w:val="bottom"/>
          </w:tcPr>
          <w:p>
            <w:pPr>
              <w:spacing w:after="0"/>
              <w:rPr>
                <w:sz w:val="1"/>
                <w:szCs w:val="1"/>
                <w:color w:val="auto"/>
              </w:rPr>
            </w:pPr>
          </w:p>
        </w:tc>
      </w:tr>
      <w:tr>
        <w:trPr>
          <w:trHeight w:val="174"/>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1A475F"/>
              </w:rPr>
              <w:t>Rosamund Marshall</w:t>
            </w:r>
          </w:p>
        </w:tc>
        <w:tc>
          <w:tcPr>
            <w:tcW w:w="2380" w:type="dxa"/>
            <w:vAlign w:val="bottom"/>
            <w:gridSpan w:val="2"/>
            <w:shd w:val="clear" w:color="auto" w:fill="CCEEFF"/>
          </w:tcPr>
          <w:p>
            <w:pPr>
              <w:jc w:val="center"/>
              <w:ind w:left="884"/>
              <w:spacing w:after="0"/>
              <w:rPr>
                <w:sz w:val="20"/>
                <w:szCs w:val="20"/>
                <w:color w:val="auto"/>
              </w:rPr>
            </w:pPr>
            <w:r>
              <w:rPr>
                <w:rFonts w:ascii="Arial" w:cs="Arial" w:eastAsia="Arial" w:hAnsi="Arial"/>
                <w:sz w:val="15"/>
                <w:szCs w:val="15"/>
                <w:color w:val="1A475F"/>
                <w:w w:val="99"/>
              </w:rPr>
              <w:t>75%</w:t>
            </w:r>
          </w:p>
        </w:tc>
        <w:tc>
          <w:tcPr>
            <w:tcW w:w="2380" w:type="dxa"/>
            <w:vAlign w:val="bottom"/>
            <w:gridSpan w:val="2"/>
            <w:shd w:val="clear" w:color="auto" w:fill="CCEEFF"/>
          </w:tcPr>
          <w:p>
            <w:pPr>
              <w:jc w:val="center"/>
              <w:ind w:left="884"/>
              <w:spacing w:after="0"/>
              <w:rPr>
                <w:sz w:val="20"/>
                <w:szCs w:val="20"/>
                <w:color w:val="auto"/>
              </w:rPr>
            </w:pPr>
            <w:r>
              <w:rPr>
                <w:rFonts w:ascii="Arial" w:cs="Arial" w:eastAsia="Arial" w:hAnsi="Arial"/>
                <w:sz w:val="15"/>
                <w:szCs w:val="15"/>
                <w:color w:val="1A475F"/>
                <w:w w:val="99"/>
              </w:rPr>
              <w:t>75%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The Compensation Committee determined the payout of the 2025 annual cash bonus awards would be as follows:</w:t>
      </w:r>
    </w:p>
    <w:p>
      <w:pPr>
        <w:spacing w:after="0" w:line="202"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20" w:type="dxa"/>
            <w:vAlign w:val="bottom"/>
            <w:tcBorders>
              <w:bottom w:val="single" w:sz="8" w:color="1A475F"/>
            </w:tcBorders>
            <w:gridSpan w:val="2"/>
          </w:tcPr>
          <w:p>
            <w:pPr>
              <w:jc w:val="center"/>
              <w:spacing w:after="0"/>
              <w:rPr>
                <w:sz w:val="20"/>
                <w:szCs w:val="20"/>
                <w:color w:val="auto"/>
              </w:rPr>
            </w:pPr>
            <w:r>
              <w:rPr>
                <w:rFonts w:ascii="Arial" w:cs="Arial" w:eastAsia="Arial" w:hAnsi="Arial"/>
                <w:sz w:val="14"/>
                <w:szCs w:val="14"/>
                <w:b w:val="1"/>
                <w:bCs w:val="1"/>
                <w:color w:val="1A475F"/>
                <w:w w:val="99"/>
              </w:rPr>
              <w:t>Individual Performance (Weighted 50%)</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20" w:type="dxa"/>
            <w:vAlign w:val="bottom"/>
            <w:tcBorders>
              <w:bottom w:val="single" w:sz="8" w:color="1A475F"/>
            </w:tcBorders>
            <w:gridSpan w:val="2"/>
          </w:tcPr>
          <w:p>
            <w:pPr>
              <w:jc w:val="center"/>
              <w:spacing w:after="0"/>
              <w:rPr>
                <w:sz w:val="20"/>
                <w:szCs w:val="20"/>
                <w:color w:val="auto"/>
              </w:rPr>
            </w:pPr>
            <w:r>
              <w:rPr>
                <w:rFonts w:ascii="Arial" w:cs="Arial" w:eastAsia="Arial" w:hAnsi="Arial"/>
                <w:sz w:val="14"/>
                <w:szCs w:val="14"/>
                <w:b w:val="1"/>
                <w:bCs w:val="1"/>
                <w:color w:val="1A475F"/>
                <w:w w:val="99"/>
              </w:rPr>
              <w:t>Corporate Performance (Weighted 50%)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60" w:type="dxa"/>
            <w:vAlign w:val="bottom"/>
            <w:gridSpan w:val="4"/>
          </w:tcPr>
          <w:p>
            <w:pPr>
              <w:jc w:val="center"/>
              <w:ind w:right="20"/>
              <w:spacing w:after="0" w:line="153" w:lineRule="exact"/>
              <w:rPr>
                <w:sz w:val="20"/>
                <w:szCs w:val="20"/>
                <w:color w:val="auto"/>
              </w:rPr>
            </w:pPr>
            <w:r>
              <w:rPr>
                <w:rFonts w:ascii="Arial" w:cs="Arial" w:eastAsia="Arial" w:hAnsi="Arial"/>
                <w:sz w:val="14"/>
                <w:szCs w:val="14"/>
                <w:color w:val="1A475F"/>
                <w:w w:val="99"/>
              </w:rPr>
              <w:t>Comprised of individual goals as qualitatively assessed by the Compensation</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20" w:type="dxa"/>
            <w:vAlign w:val="bottom"/>
            <w:gridSpan w:val="2"/>
          </w:tcPr>
          <w:p>
            <w:pPr>
              <w:jc w:val="center"/>
              <w:spacing w:after="0" w:line="153" w:lineRule="exact"/>
              <w:rPr>
                <w:sz w:val="20"/>
                <w:szCs w:val="20"/>
                <w:color w:val="auto"/>
              </w:rPr>
            </w:pPr>
            <w:r>
              <w:rPr>
                <w:rFonts w:ascii="Arial" w:cs="Arial" w:eastAsia="Arial" w:hAnsi="Arial"/>
                <w:sz w:val="14"/>
                <w:szCs w:val="14"/>
                <w:color w:val="1A475F"/>
                <w:w w:val="94"/>
              </w:rPr>
              <w:t>Composed of equally weighted performance:</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60" w:type="dxa"/>
            <w:vAlign w:val="bottom"/>
            <w:tcBorders>
              <w:bottom w:val="single" w:sz="8" w:color="1A475F"/>
            </w:tcBorders>
          </w:tcPr>
          <w:p>
            <w:pPr>
              <w:spacing w:after="0"/>
              <w:rPr>
                <w:sz w:val="16"/>
                <w:szCs w:val="16"/>
                <w:color w:val="auto"/>
              </w:rPr>
            </w:pPr>
          </w:p>
        </w:tc>
        <w:tc>
          <w:tcPr>
            <w:tcW w:w="940" w:type="dxa"/>
            <w:vAlign w:val="bottom"/>
            <w:tcBorders>
              <w:bottom w:val="single" w:sz="8" w:color="1A475F"/>
            </w:tcBorders>
          </w:tcPr>
          <w:p>
            <w:pPr>
              <w:spacing w:after="0"/>
              <w:rPr>
                <w:sz w:val="16"/>
                <w:szCs w:val="16"/>
                <w:color w:val="auto"/>
              </w:rPr>
            </w:pPr>
          </w:p>
        </w:tc>
        <w:tc>
          <w:tcPr>
            <w:tcW w:w="2860" w:type="dxa"/>
            <w:vAlign w:val="bottom"/>
            <w:tcBorders>
              <w:bottom w:val="single" w:sz="8" w:color="1A475F"/>
            </w:tcBorders>
            <w:gridSpan w:val="2"/>
          </w:tcPr>
          <w:p>
            <w:pPr>
              <w:jc w:val="center"/>
              <w:ind w:right="2120"/>
              <w:spacing w:after="0"/>
              <w:rPr>
                <w:sz w:val="20"/>
                <w:szCs w:val="20"/>
                <w:color w:val="auto"/>
              </w:rPr>
            </w:pPr>
            <w:r>
              <w:rPr>
                <w:rFonts w:ascii="Arial" w:cs="Arial" w:eastAsia="Arial" w:hAnsi="Arial"/>
                <w:sz w:val="14"/>
                <w:szCs w:val="14"/>
                <w:color w:val="1A475F"/>
                <w:w w:val="97"/>
              </w:rPr>
              <w:t>Committee</w:t>
            </w:r>
          </w:p>
        </w:tc>
        <w:tc>
          <w:tcPr>
            <w:tcW w:w="420" w:type="dxa"/>
            <w:vAlign w:val="bottom"/>
            <w:tcBorders>
              <w:bottom w:val="single" w:sz="8" w:color="1A475F"/>
            </w:tcBorders>
          </w:tcPr>
          <w:p>
            <w:pPr>
              <w:spacing w:after="0"/>
              <w:rPr>
                <w:sz w:val="16"/>
                <w:szCs w:val="16"/>
                <w:color w:val="auto"/>
              </w:rPr>
            </w:pPr>
          </w:p>
        </w:tc>
        <w:tc>
          <w:tcPr>
            <w:tcW w:w="4080" w:type="dxa"/>
            <w:vAlign w:val="bottom"/>
            <w:tcBorders>
              <w:bottom w:val="single" w:sz="8" w:color="1A475F"/>
            </w:tcBorders>
            <w:gridSpan w:val="5"/>
          </w:tcPr>
          <w:p>
            <w:pPr>
              <w:jc w:val="center"/>
              <w:ind w:right="331"/>
              <w:spacing w:after="0" w:line="186" w:lineRule="exact"/>
              <w:rPr>
                <w:sz w:val="20"/>
                <w:szCs w:val="20"/>
                <w:color w:val="auto"/>
              </w:rPr>
            </w:pPr>
            <w:r>
              <w:rPr>
                <w:rFonts w:ascii="Arial" w:cs="Arial" w:eastAsia="Arial" w:hAnsi="Arial"/>
                <w:sz w:val="14"/>
                <w:szCs w:val="14"/>
                <w:color w:val="1A475F"/>
                <w:w w:val="97"/>
              </w:rPr>
              <w:t>Adjusted EBITDA</w:t>
            </w:r>
            <w:r>
              <w:rPr>
                <w:rFonts w:ascii="Arial" w:cs="Arial" w:eastAsia="Arial" w:hAnsi="Arial"/>
                <w:sz w:val="20"/>
                <w:szCs w:val="20"/>
                <w:color w:val="1A475F"/>
                <w:w w:val="97"/>
                <w:vertAlign w:val="superscript"/>
              </w:rPr>
              <w:t>(1)</w:t>
            </w:r>
            <w:r>
              <w:rPr>
                <w:rFonts w:ascii="Arial" w:cs="Arial" w:eastAsia="Arial" w:hAnsi="Arial"/>
                <w:sz w:val="14"/>
                <w:szCs w:val="14"/>
                <w:color w:val="1A475F"/>
                <w:w w:val="97"/>
              </w:rPr>
              <w:t xml:space="preserve"> (25%) and Adjusted EPS</w:t>
            </w:r>
            <w:r>
              <w:rPr>
                <w:rFonts w:ascii="Arial" w:cs="Arial" w:eastAsia="Arial" w:hAnsi="Arial"/>
                <w:sz w:val="20"/>
                <w:szCs w:val="20"/>
                <w:color w:val="1A475F"/>
                <w:w w:val="97"/>
                <w:vertAlign w:val="superscript"/>
              </w:rPr>
              <w:t>(1)</w:t>
            </w:r>
            <w:r>
              <w:rPr>
                <w:rFonts w:ascii="Arial" w:cs="Arial" w:eastAsia="Arial" w:hAnsi="Arial"/>
                <w:sz w:val="14"/>
                <w:szCs w:val="14"/>
                <w:color w:val="1A475F"/>
                <w:w w:val="97"/>
              </w:rPr>
              <w:t xml:space="preserve"> (25%)</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60" w:type="dxa"/>
            <w:vAlign w:val="bottom"/>
            <w:gridSpan w:val="2"/>
            <w:vMerge w:val="restart"/>
          </w:tcPr>
          <w:p>
            <w:pPr>
              <w:jc w:val="center"/>
              <w:ind w:left="311"/>
              <w:spacing w:after="0"/>
              <w:rPr>
                <w:sz w:val="20"/>
                <w:szCs w:val="20"/>
                <w:color w:val="auto"/>
              </w:rPr>
            </w:pPr>
            <w:r>
              <w:rPr>
                <w:rFonts w:ascii="Arial" w:cs="Arial" w:eastAsia="Arial" w:hAnsi="Arial"/>
                <w:sz w:val="14"/>
                <w:szCs w:val="14"/>
                <w:b w:val="1"/>
                <w:bCs w:val="1"/>
                <w:color w:val="1A475F"/>
                <w:w w:val="97"/>
              </w:rPr>
              <w:t>Target Opportunity</w:t>
            </w:r>
          </w:p>
        </w:tc>
        <w:tc>
          <w:tcPr>
            <w:tcW w:w="42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1A475F"/>
                <w:w w:val="98"/>
              </w:rPr>
              <w:t>Performance Achievement: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1A475F"/>
              </w:rPr>
              <w:t>Bonus</w:t>
            </w:r>
          </w:p>
        </w:tc>
        <w:tc>
          <w:tcPr>
            <w:tcW w:w="0" w:type="dxa"/>
            <w:vAlign w:val="bottom"/>
          </w:tcPr>
          <w:p>
            <w:pPr>
              <w:spacing w:after="0"/>
              <w:rPr>
                <w:sz w:val="1"/>
                <w:szCs w:val="1"/>
                <w:color w:val="auto"/>
              </w:rPr>
            </w:pPr>
          </w:p>
        </w:tc>
      </w:tr>
      <w:tr>
        <w:trPr>
          <w:trHeight w:val="81"/>
        </w:trPr>
        <w:tc>
          <w:tcPr>
            <w:tcW w:w="1160" w:type="dxa"/>
            <w:vAlign w:val="bottom"/>
            <w:vMerge w:val="restart"/>
          </w:tcPr>
          <w:p>
            <w:pPr>
              <w:ind w:left="540"/>
              <w:spacing w:after="0"/>
              <w:rPr>
                <w:sz w:val="20"/>
                <w:szCs w:val="20"/>
                <w:color w:val="auto"/>
              </w:rPr>
            </w:pPr>
            <w:r>
              <w:rPr>
                <w:rFonts w:ascii="Arial" w:cs="Arial" w:eastAsia="Arial" w:hAnsi="Arial"/>
                <w:sz w:val="14"/>
                <w:szCs w:val="14"/>
                <w:b w:val="1"/>
                <w:bCs w:val="1"/>
                <w:color w:val="1A475F"/>
              </w:rPr>
              <w:t>Salary</w:t>
            </w:r>
          </w:p>
        </w:tc>
        <w:tc>
          <w:tcPr>
            <w:tcW w:w="940" w:type="dxa"/>
            <w:vAlign w:val="bottom"/>
            <w:vMerge w:val="restart"/>
          </w:tcPr>
          <w:p>
            <w:pPr>
              <w:ind w:left="800"/>
              <w:spacing w:after="0"/>
              <w:rPr>
                <w:sz w:val="20"/>
                <w:szCs w:val="20"/>
                <w:color w:val="auto"/>
              </w:rPr>
            </w:pPr>
            <w:r>
              <w:rPr>
                <w:rFonts w:ascii="Arial" w:cs="Arial" w:eastAsia="Arial" w:hAnsi="Arial"/>
                <w:sz w:val="14"/>
                <w:szCs w:val="14"/>
                <w:b w:val="1"/>
                <w:bCs w:val="1"/>
                <w:color w:val="1A475F"/>
              </w:rPr>
              <w:t>X</w:t>
            </w:r>
          </w:p>
        </w:tc>
        <w:tc>
          <w:tcPr>
            <w:tcW w:w="2860" w:type="dxa"/>
            <w:vAlign w:val="bottom"/>
            <w:gridSpan w:val="2"/>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4"/>
                <w:szCs w:val="14"/>
                <w:b w:val="1"/>
                <w:bCs w:val="1"/>
                <w:color w:val="1A475F"/>
              </w:rPr>
              <w:t>X</w:t>
            </w:r>
          </w:p>
        </w:tc>
        <w:tc>
          <w:tcPr>
            <w:tcW w:w="2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1A475F"/>
                <w:w w:val="98"/>
              </w:rPr>
              <w:t>50% Based on Individual</w:t>
            </w:r>
          </w:p>
        </w:tc>
        <w:tc>
          <w:tcPr>
            <w:tcW w:w="7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1A475F"/>
              </w:rPr>
              <w:t>=</w:t>
            </w: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860" w:type="dxa"/>
            <w:vAlign w:val="bottom"/>
            <w:gridSpan w:val="2"/>
            <w:vMerge w:val="restart"/>
          </w:tcPr>
          <w:p>
            <w:pPr>
              <w:jc w:val="center"/>
              <w:ind w:left="311"/>
              <w:spacing w:after="0"/>
              <w:rPr>
                <w:sz w:val="20"/>
                <w:szCs w:val="20"/>
                <w:color w:val="auto"/>
              </w:rPr>
            </w:pPr>
            <w:r>
              <w:rPr>
                <w:rFonts w:ascii="Arial" w:cs="Arial" w:eastAsia="Arial" w:hAnsi="Arial"/>
                <w:sz w:val="14"/>
                <w:szCs w:val="14"/>
                <w:b w:val="1"/>
                <w:bCs w:val="1"/>
                <w:color w:val="1A475F"/>
                <w:w w:val="99"/>
              </w:rPr>
              <w:t>(% of Salary)</w:t>
            </w:r>
          </w:p>
        </w:tc>
        <w:tc>
          <w:tcPr>
            <w:tcW w:w="420" w:type="dxa"/>
            <w:vAlign w:val="bottom"/>
            <w:vMerge w:val="continue"/>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1A475F"/>
              </w:rPr>
              <w:t>Payout</w:t>
            </w:r>
          </w:p>
        </w:tc>
        <w:tc>
          <w:tcPr>
            <w:tcW w:w="0" w:type="dxa"/>
            <w:vAlign w:val="bottom"/>
          </w:tcPr>
          <w:p>
            <w:pPr>
              <w:spacing w:after="0"/>
              <w:rPr>
                <w:sz w:val="1"/>
                <w:szCs w:val="1"/>
                <w:color w:val="auto"/>
              </w:rPr>
            </w:pPr>
          </w:p>
        </w:tc>
      </w:tr>
      <w:tr>
        <w:trPr>
          <w:trHeight w:val="111"/>
        </w:trPr>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2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1A475F"/>
                <w:w w:val="93"/>
              </w:rPr>
              <w:t>   50% Based on Corporate</w:t>
            </w:r>
            <w:r>
              <w:rPr>
                <w:rFonts w:ascii="Arial" w:cs="Arial" w:eastAsia="Arial" w:hAnsi="Arial"/>
                <w:sz w:val="20"/>
                <w:szCs w:val="20"/>
                <w:b w:val="1"/>
                <w:bCs w:val="1"/>
                <w:color w:val="1A475F"/>
                <w:w w:val="93"/>
                <w:vertAlign w:val="superscript"/>
              </w:rPr>
              <w:t>(2)</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10795</wp:posOffset>
            </wp:positionV>
            <wp:extent cx="65405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36" w:lineRule="exact"/>
        <w:rPr>
          <w:sz w:val="20"/>
          <w:szCs w:val="20"/>
          <w:color w:val="auto"/>
        </w:rPr>
      </w:pPr>
    </w:p>
    <w:p>
      <w:pPr>
        <w:ind w:left="1280" w:right="60" w:hanging="379"/>
        <w:spacing w:after="0" w:line="248" w:lineRule="auto"/>
        <w:tabs>
          <w:tab w:leader="none" w:pos="1280" w:val="left"/>
        </w:tabs>
        <w:numPr>
          <w:ilvl w:val="0"/>
          <w:numId w:val="51"/>
        </w:numPr>
        <w:rPr>
          <w:rFonts w:ascii="Arial" w:cs="Arial" w:eastAsia="Arial" w:hAnsi="Arial"/>
          <w:sz w:val="12"/>
          <w:szCs w:val="12"/>
          <w:color w:val="1A475F"/>
        </w:rPr>
      </w:pPr>
      <w:r>
        <w:rPr>
          <w:rFonts w:ascii="Arial" w:cs="Arial" w:eastAsia="Arial" w:hAnsi="Arial"/>
          <w:sz w:val="12"/>
          <w:szCs w:val="12"/>
          <w:color w:val="1A475F"/>
        </w:rPr>
        <w:t>Adjusted earnings before interest, taxes, depreciation and amortization (“Adjusted EBITDA”) and diluted adjusted earnings per common share (“Adjusted EPS”) are financial measures that are not calculated in accordance with generally accepted accounting principles in the United States (“GAAP”), which are commonly referred to as “non-GAAP measures.” Please refer to footnote (1) on page 39 for more information regarding these non-GAAP financial measures.</w:t>
      </w:r>
    </w:p>
    <w:p>
      <w:pPr>
        <w:ind w:left="1280" w:hanging="379"/>
        <w:spacing w:after="0"/>
        <w:tabs>
          <w:tab w:leader="none" w:pos="1280" w:val="left"/>
        </w:tabs>
        <w:numPr>
          <w:ilvl w:val="0"/>
          <w:numId w:val="51"/>
        </w:numPr>
        <w:rPr>
          <w:rFonts w:ascii="Arial" w:cs="Arial" w:eastAsia="Arial" w:hAnsi="Arial"/>
          <w:sz w:val="12"/>
          <w:szCs w:val="12"/>
          <w:color w:val="1A475F"/>
        </w:rPr>
      </w:pPr>
      <w:r>
        <w:rPr>
          <w:rFonts w:ascii="Arial" w:cs="Arial" w:eastAsia="Arial" w:hAnsi="Arial"/>
          <w:sz w:val="12"/>
          <w:szCs w:val="12"/>
          <w:color w:val="1A475F"/>
        </w:rPr>
        <w:t>Subject to a 3x maximum achievement.</w:t>
      </w:r>
    </w:p>
    <w:p>
      <w:pPr>
        <w:spacing w:after="0" w:line="107" w:lineRule="exact"/>
        <w:rPr>
          <w:sz w:val="20"/>
          <w:szCs w:val="20"/>
          <w:color w:val="auto"/>
        </w:rPr>
      </w:pPr>
    </w:p>
    <w:p>
      <w:pPr>
        <w:jc w:val="right"/>
        <w:ind w:right="20"/>
        <w:spacing w:after="0"/>
        <w:tabs>
          <w:tab w:leader="none" w:pos="440" w:val="left"/>
          <w:tab w:leader="none" w:pos="1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37</w:t>
      </w:r>
    </w:p>
    <w:p>
      <w:pPr>
        <w:sectPr>
          <w:pgSz w:w="11900" w:h="16838" w:orient="portrait"/>
          <w:cols w:equalWidth="0" w:num="1">
            <w:col w:w="10360"/>
          </w:cols>
          <w:pgMar w:left="320" w:top="434" w:right="12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right="540" w:firstLine="756"/>
        <w:spacing w:after="0" w:line="261" w:lineRule="auto"/>
        <w:rPr>
          <w:sz w:val="20"/>
          <w:szCs w:val="20"/>
          <w:color w:val="auto"/>
        </w:rPr>
      </w:pPr>
      <w:r>
        <w:rPr>
          <w:rFonts w:ascii="Arial" w:cs="Arial" w:eastAsia="Arial" w:hAnsi="Arial"/>
          <w:sz w:val="15"/>
          <w:szCs w:val="15"/>
          <w:i w:val="1"/>
          <w:iCs w:val="1"/>
          <w:color w:val="1A475F"/>
        </w:rPr>
        <w:t xml:space="preserve">Individual Performance. </w:t>
      </w:r>
      <w:r>
        <w:rPr>
          <w:rFonts w:ascii="Arial" w:cs="Arial" w:eastAsia="Arial" w:hAnsi="Arial"/>
          <w:sz w:val="15"/>
          <w:szCs w:val="15"/>
          <w:color w:val="1A475F"/>
        </w:rPr>
        <w:t>For the 50% portion of the cash bonus award based on a qualitative assessment of individual</w:t>
      </w:r>
      <w:r>
        <w:rPr>
          <w:rFonts w:ascii="Arial" w:cs="Arial" w:eastAsia="Arial" w:hAnsi="Arial"/>
          <w:sz w:val="15"/>
          <w:szCs w:val="15"/>
          <w:i w:val="1"/>
          <w:iCs w:val="1"/>
          <w:color w:val="1A475F"/>
        </w:rPr>
        <w:t xml:space="preserve"> </w:t>
      </w:r>
      <w:r>
        <w:rPr>
          <w:rFonts w:ascii="Arial" w:cs="Arial" w:eastAsia="Arial" w:hAnsi="Arial"/>
          <w:sz w:val="15"/>
          <w:szCs w:val="15"/>
          <w:color w:val="1A475F"/>
        </w:rPr>
        <w:t>performance, the goals applicable to all of our NEOs are communicated at the beginning of the fiscal year and, for 2025, generally encompassed:</w:t>
      </w:r>
    </w:p>
    <w:p>
      <w:pPr>
        <w:sectPr>
          <w:pgSz w:w="11900" w:h="16838" w:orient="portrait"/>
          <w:cols w:equalWidth="0" w:num="1">
            <w:col w:w="10300"/>
          </w:cols>
          <w:pgMar w:left="320" w:top="433" w:right="1279" w:bottom="1440" w:gutter="0" w:footer="0" w:header="0"/>
        </w:sectPr>
      </w:pP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5"/>
          <w:szCs w:val="15"/>
          <w:color w:val="1A475F"/>
        </w:rPr>
        <w:t>• Leadership skills and strategic vision</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1A475F"/>
        </w:rPr>
        <w:t>• Strategic planning and execution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1A475F"/>
        </w:rPr>
        <w:t>• Culture and brand building</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1A475F"/>
        </w:rPr>
        <w:t>• Integration of acquisitions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1A475F"/>
        </w:rPr>
        <w:t>• Employee, parent and client satisfaction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1A475F"/>
        </w:rPr>
        <w:t>• Demonstrated ethics and values in line with those of our Company</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1A475F"/>
        </w:rPr>
        <w:t>• Capital markets, efficient capital deployment and shareholder</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5"/>
          <w:szCs w:val="15"/>
          <w:color w:val="1A475F"/>
        </w:rPr>
        <w:t>relations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1A475F"/>
        </w:rPr>
        <w:t>• Board and Board committee relations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1A475F"/>
        </w:rPr>
        <w:t>• External relations, including awards and recognition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1A475F"/>
        </w:rPr>
        <w:t>• Innovation and change management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1A475F"/>
        </w:rPr>
        <w:t>• Succession planning and employee development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1A475F"/>
        </w:rPr>
        <w:t>• Execution of human capital management initiatives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1A475F"/>
        </w:rPr>
        <w:t>• Other strategic and tactical decisions employed during the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1A475F"/>
        </w:rPr>
        <w:t>year to execute on the Company’s strategic plan and achieve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1A475F"/>
        </w:rPr>
        <w:t>financial performance targets for 2025</w:t>
      </w:r>
    </w:p>
    <w:p>
      <w:pPr>
        <w:spacing w:after="0" w:line="172" w:lineRule="exact"/>
        <w:rPr>
          <w:sz w:val="20"/>
          <w:szCs w:val="20"/>
          <w:color w:val="auto"/>
        </w:rPr>
      </w:pPr>
    </w:p>
    <w:p>
      <w:pPr>
        <w:sectPr>
          <w:pgSz w:w="11900" w:h="16838" w:orient="portrait"/>
          <w:cols w:equalWidth="0" w:num="2">
            <w:col w:w="5680" w:space="260"/>
            <w:col w:w="4360"/>
          </w:cols>
          <w:pgMar w:left="320" w:top="433" w:right="1279" w:bottom="1440" w:gutter="0" w:footer="0" w:header="0"/>
          <w:type w:val="continuous"/>
        </w:sectPr>
      </w:pPr>
    </w:p>
    <w:p>
      <w:pPr>
        <w:ind w:left="900" w:right="120" w:firstLine="756"/>
        <w:spacing w:after="0" w:line="255" w:lineRule="auto"/>
        <w:rPr>
          <w:sz w:val="20"/>
          <w:szCs w:val="20"/>
          <w:color w:val="auto"/>
        </w:rPr>
      </w:pPr>
      <w:r>
        <w:rPr>
          <w:rFonts w:ascii="Arial" w:cs="Arial" w:eastAsia="Arial" w:hAnsi="Arial"/>
          <w:sz w:val="15"/>
          <w:szCs w:val="15"/>
          <w:i w:val="1"/>
          <w:iCs w:val="1"/>
          <w:color w:val="1A475F"/>
        </w:rPr>
        <w:t>2025 Individual Performance Assessment</w:t>
      </w:r>
      <w:r>
        <w:rPr>
          <w:rFonts w:ascii="Arial" w:cs="Arial" w:eastAsia="Arial" w:hAnsi="Arial"/>
          <w:sz w:val="15"/>
          <w:szCs w:val="15"/>
          <w:color w:val="1A475F"/>
        </w:rPr>
        <w:t>. During the first quarter of 2026, the Compensation Committee evaluated the</w:t>
      </w:r>
      <w:r>
        <w:rPr>
          <w:rFonts w:ascii="Arial" w:cs="Arial" w:eastAsia="Arial" w:hAnsi="Arial"/>
          <w:sz w:val="15"/>
          <w:szCs w:val="15"/>
          <w:i w:val="1"/>
          <w:iCs w:val="1"/>
          <w:color w:val="1A475F"/>
        </w:rPr>
        <w:t xml:space="preserve"> </w:t>
      </w:r>
      <w:r>
        <w:rPr>
          <w:rFonts w:ascii="Arial" w:cs="Arial" w:eastAsia="Arial" w:hAnsi="Arial"/>
          <w:sz w:val="15"/>
          <w:szCs w:val="15"/>
          <w:color w:val="1A475F"/>
        </w:rPr>
        <w:t>individual performance of our NEOs for 2025 and considered the various individual and business factors outlined above, each person’s strategic and operational decisions and their contributions to our achievement of the corporate performance goals, and their other efforts to strengthen the Company’s performance.</w:t>
      </w:r>
    </w:p>
    <w:p>
      <w:pPr>
        <w:spacing w:after="0" w:line="145" w:lineRule="exact"/>
        <w:rPr>
          <w:sz w:val="20"/>
          <w:szCs w:val="20"/>
          <w:color w:val="auto"/>
        </w:rPr>
      </w:pPr>
    </w:p>
    <w:p>
      <w:pPr>
        <w:ind w:left="900" w:right="280" w:firstLine="756"/>
        <w:spacing w:after="0" w:line="296" w:lineRule="auto"/>
        <w:rPr>
          <w:sz w:val="20"/>
          <w:szCs w:val="20"/>
          <w:color w:val="auto"/>
        </w:rPr>
      </w:pPr>
      <w:r>
        <w:rPr>
          <w:rFonts w:ascii="Arial" w:cs="Arial" w:eastAsia="Arial" w:hAnsi="Arial"/>
          <w:sz w:val="15"/>
          <w:szCs w:val="15"/>
          <w:b w:val="1"/>
          <w:bCs w:val="1"/>
          <w:color w:val="1A475F"/>
        </w:rPr>
        <w:t>The Compensation Committee determined that each NEO earned 100% of the 50% portion of the 2025 annual cash bonus award based on individual performance.</w:t>
      </w:r>
    </w:p>
    <w:p>
      <w:pPr>
        <w:spacing w:after="0" w:line="109" w:lineRule="exact"/>
        <w:rPr>
          <w:sz w:val="20"/>
          <w:szCs w:val="20"/>
          <w:color w:val="auto"/>
        </w:rPr>
      </w:pPr>
    </w:p>
    <w:p>
      <w:pPr>
        <w:ind w:left="900" w:firstLine="756"/>
        <w:spacing w:after="0" w:line="248" w:lineRule="auto"/>
        <w:rPr>
          <w:sz w:val="20"/>
          <w:szCs w:val="20"/>
          <w:color w:val="auto"/>
        </w:rPr>
      </w:pPr>
      <w:r>
        <w:rPr>
          <w:rFonts w:ascii="Arial" w:cs="Arial" w:eastAsia="Arial" w:hAnsi="Arial"/>
          <w:sz w:val="15"/>
          <w:szCs w:val="15"/>
          <w:i w:val="1"/>
          <w:iCs w:val="1"/>
          <w:color w:val="1A475F"/>
        </w:rPr>
        <w:t xml:space="preserve">Corporate Performance. </w:t>
      </w:r>
      <w:r>
        <w:rPr>
          <w:rFonts w:ascii="Arial" w:cs="Arial" w:eastAsia="Arial" w:hAnsi="Arial"/>
          <w:sz w:val="15"/>
          <w:szCs w:val="15"/>
          <w:color w:val="1A475F"/>
        </w:rPr>
        <w:t>The corporate performance goals are designed to be challenging targets that we believe motivate and</w:t>
      </w:r>
      <w:r>
        <w:rPr>
          <w:rFonts w:ascii="Arial" w:cs="Arial" w:eastAsia="Arial" w:hAnsi="Arial"/>
          <w:sz w:val="15"/>
          <w:szCs w:val="15"/>
          <w:i w:val="1"/>
          <w:iCs w:val="1"/>
          <w:color w:val="1A475F"/>
        </w:rPr>
        <w:t xml:space="preserve"> </w:t>
      </w:r>
      <w:r>
        <w:rPr>
          <w:rFonts w:ascii="Arial" w:cs="Arial" w:eastAsia="Arial" w:hAnsi="Arial"/>
          <w:sz w:val="15"/>
          <w:szCs w:val="15"/>
          <w:color w:val="1A475F"/>
        </w:rPr>
        <w:t>incentivize our executive officers to deliver value to our shareholders. For the 50% portion of the cash bonus awards based on the achievement of pre-established corporate performance goals, Adjusted EBITDA and Adjusted EPS were selected as the corporate performance metrics for 2025. The Compensation Committee selected Adjusted EBITDA as it reflects the Company’s cash flow generation on a consistent basis and is a strong overall indicator of the Company’s operational performance. Adjusted EPS was selected as a corporate performance metric as it reflects the Company’s overall operating and financial achievements adjusted for the impact of certain non-cash charges and non-recurring transactions.</w:t>
      </w:r>
    </w:p>
    <w:p>
      <w:pPr>
        <w:spacing w:after="0" w:line="153" w:lineRule="exact"/>
        <w:rPr>
          <w:sz w:val="20"/>
          <w:szCs w:val="20"/>
          <w:color w:val="auto"/>
        </w:rPr>
      </w:pPr>
    </w:p>
    <w:p>
      <w:pPr>
        <w:ind w:left="900" w:right="80" w:firstLine="756"/>
        <w:spacing w:after="0" w:line="261" w:lineRule="auto"/>
        <w:rPr>
          <w:sz w:val="20"/>
          <w:szCs w:val="20"/>
          <w:color w:val="auto"/>
        </w:rPr>
      </w:pPr>
      <w:r>
        <w:rPr>
          <w:rFonts w:ascii="Arial" w:cs="Arial" w:eastAsia="Arial" w:hAnsi="Arial"/>
          <w:sz w:val="15"/>
          <w:szCs w:val="15"/>
          <w:color w:val="1A475F"/>
        </w:rPr>
        <w:t>At the beginning of 2025, the Compensation Committee established target Adjusted EBITDA and Adjusted EPS corporate performance goals. The Compensation Committee determined to equally weight these goals for the corporate performance portion of the bonus award such that 50% was based on meeting an Adjusted EBITDA target and 50% was based on meeting an Adjusted EPS target.</w:t>
      </w:r>
    </w:p>
    <w:p>
      <w:pPr>
        <w:spacing w:after="0" w:line="143" w:lineRule="exact"/>
        <w:rPr>
          <w:sz w:val="20"/>
          <w:szCs w:val="20"/>
          <w:color w:val="auto"/>
        </w:rPr>
      </w:pPr>
    </w:p>
    <w:p>
      <w:pPr>
        <w:ind w:left="900" w:firstLine="756"/>
        <w:spacing w:after="0" w:line="251" w:lineRule="auto"/>
        <w:rPr>
          <w:sz w:val="20"/>
          <w:szCs w:val="20"/>
          <w:color w:val="auto"/>
        </w:rPr>
      </w:pPr>
      <w:r>
        <w:rPr>
          <w:rFonts w:ascii="Arial" w:cs="Arial" w:eastAsia="Arial" w:hAnsi="Arial"/>
          <w:sz w:val="15"/>
          <w:szCs w:val="15"/>
          <w:color w:val="1A475F"/>
        </w:rPr>
        <w:t>The Compensation Committee established a bonus payout range applicable to the corporate performance portion of the bonus award. Each target corporate performance level represents a growth target of Adjusted EBITDA and a growth target of Adjusted EPS over 2024 performance (each, a “Target”). The Targets were designed to establish a rigorous performance metric that also considered the continuing operating environment. NEOs were eligible to receive bonus payouts ranging from 50-100% if the Company achieved Adjusted EBITDA and Adjusted EPS of between 25%-100% of the applicable growth Targets as follows:</w:t>
      </w:r>
    </w:p>
    <w:p>
      <w:pPr>
        <w:spacing w:after="0" w:line="70" w:lineRule="exact"/>
        <w:rPr>
          <w:sz w:val="20"/>
          <w:szCs w:val="20"/>
          <w:color w:val="auto"/>
        </w:rPr>
      </w:pPr>
    </w:p>
    <w:p>
      <w:pPr>
        <w:ind w:left="1640" w:hanging="368"/>
        <w:spacing w:after="0"/>
        <w:tabs>
          <w:tab w:leader="none" w:pos="1640" w:val="left"/>
        </w:tabs>
        <w:numPr>
          <w:ilvl w:val="0"/>
          <w:numId w:val="52"/>
        </w:numPr>
        <w:rPr>
          <w:rFonts w:ascii="Arial" w:cs="Arial" w:eastAsia="Arial" w:hAnsi="Arial"/>
          <w:sz w:val="15"/>
          <w:szCs w:val="15"/>
          <w:color w:val="1A475F"/>
        </w:rPr>
      </w:pPr>
      <w:r>
        <w:rPr>
          <w:rFonts w:ascii="Arial" w:cs="Arial" w:eastAsia="Arial" w:hAnsi="Arial"/>
          <w:sz w:val="15"/>
          <w:szCs w:val="15"/>
          <w:color w:val="1A475F"/>
        </w:rPr>
        <w:t>Achievement below 25% of respective Targets represents a 0% payout.</w:t>
      </w:r>
    </w:p>
    <w:p>
      <w:pPr>
        <w:spacing w:after="0" w:line="105" w:lineRule="exact"/>
        <w:rPr>
          <w:rFonts w:ascii="Arial" w:cs="Arial" w:eastAsia="Arial" w:hAnsi="Arial"/>
          <w:sz w:val="15"/>
          <w:szCs w:val="15"/>
          <w:color w:val="1A475F"/>
        </w:rPr>
      </w:pPr>
    </w:p>
    <w:p>
      <w:pPr>
        <w:ind w:left="1640" w:hanging="368"/>
        <w:spacing w:after="0"/>
        <w:tabs>
          <w:tab w:leader="none" w:pos="1640" w:val="left"/>
        </w:tabs>
        <w:numPr>
          <w:ilvl w:val="0"/>
          <w:numId w:val="52"/>
        </w:numPr>
        <w:rPr>
          <w:rFonts w:ascii="Arial" w:cs="Arial" w:eastAsia="Arial" w:hAnsi="Arial"/>
          <w:sz w:val="15"/>
          <w:szCs w:val="15"/>
          <w:color w:val="1A475F"/>
        </w:rPr>
      </w:pPr>
      <w:r>
        <w:rPr>
          <w:rFonts w:ascii="Arial" w:cs="Arial" w:eastAsia="Arial" w:hAnsi="Arial"/>
          <w:sz w:val="15"/>
          <w:szCs w:val="15"/>
          <w:color w:val="1A475F"/>
        </w:rPr>
        <w:t>Achievement at 25% of respective Targets represents a 50% bonus payout.</w:t>
      </w:r>
    </w:p>
    <w:p>
      <w:pPr>
        <w:spacing w:after="0" w:line="105" w:lineRule="exact"/>
        <w:rPr>
          <w:rFonts w:ascii="Arial" w:cs="Arial" w:eastAsia="Arial" w:hAnsi="Arial"/>
          <w:sz w:val="15"/>
          <w:szCs w:val="15"/>
          <w:color w:val="1A475F"/>
        </w:rPr>
      </w:pPr>
    </w:p>
    <w:p>
      <w:pPr>
        <w:ind w:left="1640" w:hanging="368"/>
        <w:spacing w:after="0"/>
        <w:tabs>
          <w:tab w:leader="none" w:pos="1640" w:val="left"/>
        </w:tabs>
        <w:numPr>
          <w:ilvl w:val="0"/>
          <w:numId w:val="52"/>
        </w:numPr>
        <w:rPr>
          <w:rFonts w:ascii="Arial" w:cs="Arial" w:eastAsia="Arial" w:hAnsi="Arial"/>
          <w:sz w:val="15"/>
          <w:szCs w:val="15"/>
          <w:color w:val="1A475F"/>
        </w:rPr>
      </w:pPr>
      <w:r>
        <w:rPr>
          <w:rFonts w:ascii="Arial" w:cs="Arial" w:eastAsia="Arial" w:hAnsi="Arial"/>
          <w:sz w:val="15"/>
          <w:szCs w:val="15"/>
          <w:color w:val="1A475F"/>
        </w:rPr>
        <w:t>Achievement between 25%-100% of respective Targets represents a bonus payout on a sliding scale between 50%-100%.</w:t>
      </w:r>
    </w:p>
    <w:p>
      <w:pPr>
        <w:spacing w:after="0" w:line="105" w:lineRule="exact"/>
        <w:rPr>
          <w:rFonts w:ascii="Arial" w:cs="Arial" w:eastAsia="Arial" w:hAnsi="Arial"/>
          <w:sz w:val="15"/>
          <w:szCs w:val="15"/>
          <w:color w:val="1A475F"/>
        </w:rPr>
      </w:pPr>
    </w:p>
    <w:p>
      <w:pPr>
        <w:ind w:left="1640" w:hanging="368"/>
        <w:spacing w:after="0"/>
        <w:tabs>
          <w:tab w:leader="none" w:pos="1640" w:val="left"/>
        </w:tabs>
        <w:numPr>
          <w:ilvl w:val="0"/>
          <w:numId w:val="52"/>
        </w:numPr>
        <w:rPr>
          <w:rFonts w:ascii="Arial" w:cs="Arial" w:eastAsia="Arial" w:hAnsi="Arial"/>
          <w:sz w:val="15"/>
          <w:szCs w:val="15"/>
          <w:color w:val="1A475F"/>
        </w:rPr>
      </w:pPr>
      <w:r>
        <w:rPr>
          <w:rFonts w:ascii="Arial" w:cs="Arial" w:eastAsia="Arial" w:hAnsi="Arial"/>
          <w:sz w:val="15"/>
          <w:szCs w:val="15"/>
          <w:color w:val="1A475F"/>
        </w:rPr>
        <w:t>Achievement at respective Targets equals a 100% bonus payout.</w:t>
      </w:r>
    </w:p>
    <w:p>
      <w:pPr>
        <w:spacing w:after="0" w:line="105" w:lineRule="exact"/>
        <w:rPr>
          <w:rFonts w:ascii="Arial" w:cs="Arial" w:eastAsia="Arial" w:hAnsi="Arial"/>
          <w:sz w:val="15"/>
          <w:szCs w:val="15"/>
          <w:color w:val="1A475F"/>
        </w:rPr>
      </w:pPr>
    </w:p>
    <w:p>
      <w:pPr>
        <w:ind w:left="1640" w:right="420" w:hanging="368"/>
        <w:spacing w:after="0" w:line="282" w:lineRule="auto"/>
        <w:tabs>
          <w:tab w:leader="none" w:pos="1640" w:val="left"/>
        </w:tabs>
        <w:numPr>
          <w:ilvl w:val="0"/>
          <w:numId w:val="52"/>
        </w:numPr>
        <w:rPr>
          <w:rFonts w:ascii="Arial" w:cs="Arial" w:eastAsia="Arial" w:hAnsi="Arial"/>
          <w:sz w:val="15"/>
          <w:szCs w:val="15"/>
          <w:color w:val="1A475F"/>
        </w:rPr>
      </w:pPr>
      <w:r>
        <w:rPr>
          <w:rFonts w:ascii="Arial" w:cs="Arial" w:eastAsia="Arial" w:hAnsi="Arial"/>
          <w:sz w:val="15"/>
          <w:szCs w:val="15"/>
          <w:color w:val="1A475F"/>
        </w:rPr>
        <w:t>Outperformance of respective Targets represents a bonus payout on a sliding scale with the maximum amount to be paid capped at three times (300%) the portion of the annual cash bonus based on corporate performance.</w:t>
      </w:r>
    </w:p>
    <w:p>
      <w:pPr>
        <w:spacing w:after="0" w:line="67"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38</w:t>
        <w:tab/>
        <w:t>|    Bright Horizons </w:t>
      </w:r>
    </w:p>
    <w:p>
      <w:pPr>
        <w:sectPr>
          <w:pgSz w:w="11900" w:h="16838" w:orient="portrait"/>
          <w:cols w:equalWidth="0" w:num="1">
            <w:col w:w="10300"/>
          </w:cols>
          <w:pgMar w:left="320" w:top="433" w:right="12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right="340" w:firstLine="756"/>
        <w:spacing w:after="0" w:line="282" w:lineRule="auto"/>
        <w:rPr>
          <w:sz w:val="20"/>
          <w:szCs w:val="20"/>
          <w:color w:val="auto"/>
        </w:rPr>
      </w:pPr>
      <w:r>
        <w:rPr>
          <w:rFonts w:ascii="Arial" w:cs="Arial" w:eastAsia="Arial" w:hAnsi="Arial"/>
          <w:sz w:val="15"/>
          <w:szCs w:val="15"/>
          <w:i w:val="1"/>
          <w:iCs w:val="1"/>
          <w:color w:val="1A475F"/>
        </w:rPr>
        <w:t xml:space="preserve">2025 Corporate Performance Achievement. </w:t>
      </w:r>
      <w:r>
        <w:rPr>
          <w:rFonts w:ascii="Arial" w:cs="Arial" w:eastAsia="Arial" w:hAnsi="Arial"/>
          <w:sz w:val="15"/>
          <w:szCs w:val="15"/>
          <w:color w:val="1A475F"/>
        </w:rPr>
        <w:t>As reflected in the table below, Adjusted EBITDA and Adjusted EPS exceeded</w:t>
      </w:r>
      <w:r>
        <w:rPr>
          <w:rFonts w:ascii="Arial" w:cs="Arial" w:eastAsia="Arial" w:hAnsi="Arial"/>
          <w:sz w:val="15"/>
          <w:szCs w:val="15"/>
          <w:i w:val="1"/>
          <w:iCs w:val="1"/>
          <w:color w:val="1A475F"/>
        </w:rPr>
        <w:t xml:space="preserve"> </w:t>
      </w:r>
      <w:r>
        <w:rPr>
          <w:rFonts w:ascii="Arial" w:cs="Arial" w:eastAsia="Arial" w:hAnsi="Arial"/>
          <w:sz w:val="15"/>
          <w:szCs w:val="15"/>
          <w:color w:val="1A475F"/>
        </w:rPr>
        <w:t>both the Adjusted EBITDA Target and Adjusted EPS Target.</w:t>
      </w:r>
    </w:p>
    <w:p>
      <w:pPr>
        <w:spacing w:after="0" w:line="109" w:lineRule="exact"/>
        <w:rPr>
          <w:sz w:val="20"/>
          <w:szCs w:val="20"/>
          <w:color w:val="auto"/>
        </w:rPr>
      </w:pPr>
    </w:p>
    <w:tbl>
      <w:tblPr>
        <w:tblLayout w:type="fixed"/>
        <w:tblInd w:w="910" w:type="dxa"/>
        <w:tblCellMar>
          <w:top w:w="0" w:type="dxa"/>
          <w:left w:w="0" w:type="dxa"/>
          <w:bottom w:w="0" w:type="dxa"/>
          <w:right w:w="0" w:type="dxa"/>
        </w:tblCellMar>
      </w:tblPr>
      <w:tr>
        <w:trPr>
          <w:trHeight w:val="207"/>
        </w:trPr>
        <w:tc>
          <w:tcPr>
            <w:tcW w:w="3260" w:type="dxa"/>
            <w:vAlign w:val="bottom"/>
            <w:tcBorders>
              <w:bottom w:val="single" w:sz="8" w:color="auto"/>
            </w:tcBorders>
            <w:gridSpan w:val="2"/>
          </w:tcPr>
          <w:p>
            <w:pPr>
              <w:ind w:left="1260"/>
              <w:spacing w:after="0"/>
              <w:rPr>
                <w:sz w:val="20"/>
                <w:szCs w:val="20"/>
                <w:color w:val="auto"/>
              </w:rPr>
            </w:pPr>
            <w:r>
              <w:rPr>
                <w:rFonts w:ascii="Arial" w:cs="Arial" w:eastAsia="Arial" w:hAnsi="Arial"/>
                <w:sz w:val="12"/>
                <w:szCs w:val="12"/>
                <w:b w:val="1"/>
                <w:bCs w:val="1"/>
                <w:color w:val="1A475F"/>
              </w:rPr>
              <w:t>Adjusted EBITDA</w:t>
            </w:r>
            <w:r>
              <w:rPr>
                <w:rFonts w:ascii="Arial" w:cs="Arial" w:eastAsia="Arial" w:hAnsi="Arial"/>
                <w:sz w:val="18"/>
                <w:szCs w:val="18"/>
                <w:b w:val="1"/>
                <w:bCs w:val="1"/>
                <w:color w:val="1A475F"/>
                <w:vertAlign w:val="superscript"/>
              </w:rPr>
              <w:t>(1)</w:t>
            </w:r>
            <w:r>
              <w:rPr>
                <w:rFonts w:ascii="Arial" w:cs="Arial" w:eastAsia="Arial" w:hAnsi="Arial"/>
                <w:sz w:val="12"/>
                <w:szCs w:val="12"/>
                <w:b w:val="1"/>
                <w:bCs w:val="1"/>
                <w:color w:val="1A475F"/>
              </w:rPr>
              <w:t xml:space="preserve"> Performance</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ind w:left="340"/>
              <w:spacing w:after="0"/>
              <w:rPr>
                <w:sz w:val="20"/>
                <w:szCs w:val="20"/>
                <w:color w:val="auto"/>
              </w:rPr>
            </w:pPr>
            <w:r>
              <w:rPr>
                <w:rFonts w:ascii="Arial" w:cs="Arial" w:eastAsia="Arial" w:hAnsi="Arial"/>
                <w:sz w:val="12"/>
                <w:szCs w:val="12"/>
                <w:b w:val="1"/>
                <w:bCs w:val="1"/>
                <w:color w:val="1A475F"/>
              </w:rPr>
              <w:t>Adjusted EPS</w:t>
            </w:r>
            <w:r>
              <w:rPr>
                <w:rFonts w:ascii="Arial" w:cs="Arial" w:eastAsia="Arial" w:hAnsi="Arial"/>
                <w:sz w:val="18"/>
                <w:szCs w:val="18"/>
                <w:b w:val="1"/>
                <w:bCs w:val="1"/>
                <w:color w:val="1A475F"/>
                <w:vertAlign w:val="superscript"/>
              </w:rPr>
              <w:t>(1)</w:t>
            </w:r>
            <w:r>
              <w:rPr>
                <w:rFonts w:ascii="Arial" w:cs="Arial" w:eastAsia="Arial" w:hAnsi="Arial"/>
                <w:sz w:val="12"/>
                <w:szCs w:val="12"/>
                <w:b w:val="1"/>
                <w:bCs w:val="1"/>
                <w:color w:val="1A475F"/>
              </w:rPr>
              <w:t xml:space="preserve"> Performance</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320" w:type="dxa"/>
            <w:vAlign w:val="bottom"/>
            <w:vMerge w:val="restart"/>
          </w:tcPr>
          <w:p>
            <w:pPr>
              <w:ind w:left="980"/>
              <w:spacing w:after="0"/>
              <w:rPr>
                <w:sz w:val="20"/>
                <w:szCs w:val="20"/>
                <w:color w:val="auto"/>
              </w:rPr>
            </w:pPr>
            <w:r>
              <w:rPr>
                <w:rFonts w:ascii="Arial" w:cs="Arial" w:eastAsia="Arial" w:hAnsi="Arial"/>
                <w:sz w:val="12"/>
                <w:szCs w:val="12"/>
                <w:b w:val="1"/>
                <w:bCs w:val="1"/>
                <w:color w:val="1A475F"/>
              </w:rPr>
              <w:t>Target</w:t>
            </w:r>
          </w:p>
        </w:tc>
        <w:tc>
          <w:tcPr>
            <w:tcW w:w="9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spacing w:after="0" w:line="123" w:lineRule="exact"/>
              <w:rPr>
                <w:sz w:val="20"/>
                <w:szCs w:val="20"/>
                <w:color w:val="auto"/>
              </w:rPr>
            </w:pPr>
            <w:r>
              <w:rPr>
                <w:rFonts w:ascii="Arial" w:cs="Arial" w:eastAsia="Arial" w:hAnsi="Arial"/>
                <w:sz w:val="12"/>
                <w:szCs w:val="12"/>
                <w:b w:val="1"/>
                <w:bCs w:val="1"/>
                <w:color w:val="1A475F"/>
              </w:rPr>
              <w:t>Reported 2025</w:t>
            </w: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180" w:type="dxa"/>
            <w:vAlign w:val="bottom"/>
            <w:gridSpan w:val="2"/>
            <w:vMerge w:val="restart"/>
          </w:tcPr>
          <w:p>
            <w:pPr>
              <w:jc w:val="center"/>
              <w:ind w:right="1720"/>
              <w:spacing w:after="0"/>
              <w:rPr>
                <w:sz w:val="20"/>
                <w:szCs w:val="20"/>
                <w:color w:val="auto"/>
              </w:rPr>
            </w:pPr>
            <w:r>
              <w:rPr>
                <w:rFonts w:ascii="Arial" w:cs="Arial" w:eastAsia="Arial" w:hAnsi="Arial"/>
                <w:sz w:val="12"/>
                <w:szCs w:val="12"/>
                <w:b w:val="1"/>
                <w:bCs w:val="1"/>
                <w:color w:val="1A475F"/>
              </w:rPr>
              <w:t>Target</w:t>
            </w:r>
          </w:p>
        </w:tc>
        <w:tc>
          <w:tcPr>
            <w:tcW w:w="1000" w:type="dxa"/>
            <w:vAlign w:val="bottom"/>
            <w:gridSpan w:val="2"/>
          </w:tcPr>
          <w:p>
            <w:pPr>
              <w:jc w:val="center"/>
              <w:ind w:left="58"/>
              <w:spacing w:after="0" w:line="123" w:lineRule="exact"/>
              <w:rPr>
                <w:sz w:val="20"/>
                <w:szCs w:val="20"/>
                <w:color w:val="auto"/>
              </w:rPr>
            </w:pPr>
            <w:r>
              <w:rPr>
                <w:rFonts w:ascii="Arial" w:cs="Arial" w:eastAsia="Arial" w:hAnsi="Arial"/>
                <w:sz w:val="12"/>
                <w:szCs w:val="12"/>
                <w:b w:val="1"/>
                <w:bCs w:val="1"/>
                <w:color w:val="1A475F"/>
              </w:rPr>
              <w:t>Reported 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3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3020" w:type="dxa"/>
            <w:vAlign w:val="bottom"/>
            <w:gridSpan w:val="4"/>
          </w:tcPr>
          <w:p>
            <w:pPr>
              <w:jc w:val="center"/>
              <w:ind w:right="1720"/>
              <w:spacing w:after="0"/>
              <w:rPr>
                <w:sz w:val="20"/>
                <w:szCs w:val="20"/>
                <w:color w:val="auto"/>
              </w:rPr>
            </w:pPr>
            <w:r>
              <w:rPr>
                <w:rFonts w:ascii="Arial" w:cs="Arial" w:eastAsia="Arial" w:hAnsi="Arial"/>
                <w:sz w:val="12"/>
                <w:szCs w:val="12"/>
                <w:b w:val="1"/>
                <w:bCs w:val="1"/>
                <w:color w:val="1A475F"/>
              </w:rPr>
              <w:t>Adjusted EBITDA</w:t>
            </w:r>
          </w:p>
        </w:tc>
        <w:tc>
          <w:tcPr>
            <w:tcW w:w="2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1A475F"/>
              </w:rPr>
              <w:t>Adjusted EPS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Borders>
              <w:top w:val="single" w:sz="8" w:color="auto"/>
              <w:left w:val="single" w:sz="8" w:color="CCEEFF"/>
              <w:bottom w:val="single" w:sz="8" w:color="1A475F"/>
            </w:tcBorders>
            <w:shd w:val="clear" w:color="auto" w:fill="CCEEFF"/>
          </w:tcPr>
          <w:p>
            <w:pPr>
              <w:ind w:left="980"/>
              <w:spacing w:after="0"/>
              <w:rPr>
                <w:sz w:val="20"/>
                <w:szCs w:val="20"/>
                <w:color w:val="auto"/>
              </w:rPr>
            </w:pPr>
            <w:r>
              <w:rPr>
                <w:rFonts w:ascii="Arial" w:cs="Arial" w:eastAsia="Arial" w:hAnsi="Arial"/>
                <w:sz w:val="12"/>
                <w:szCs w:val="12"/>
                <w:color w:val="1A475F"/>
              </w:rPr>
              <w:t>$477M</w:t>
            </w:r>
          </w:p>
        </w:tc>
        <w:tc>
          <w:tcPr>
            <w:tcW w:w="940" w:type="dxa"/>
            <w:vAlign w:val="bottom"/>
            <w:tcBorders>
              <w:top w:val="single" w:sz="8" w:color="CCEEFF"/>
              <w:bottom w:val="single" w:sz="8" w:color="1A475F"/>
            </w:tcBorders>
            <w:shd w:val="clear" w:color="auto" w:fill="CCEEFF"/>
          </w:tcPr>
          <w:p>
            <w:pPr>
              <w:spacing w:after="0"/>
              <w:rPr>
                <w:sz w:val="12"/>
                <w:szCs w:val="12"/>
                <w:color w:val="auto"/>
              </w:rPr>
            </w:pPr>
          </w:p>
        </w:tc>
        <w:tc>
          <w:tcPr>
            <w:tcW w:w="140" w:type="dxa"/>
            <w:vAlign w:val="bottom"/>
            <w:tcBorders>
              <w:top w:val="single" w:sz="8" w:color="CCEEFF"/>
              <w:bottom w:val="single" w:sz="8" w:color="1A475F"/>
            </w:tcBorders>
            <w:shd w:val="clear" w:color="auto" w:fill="CCEEFF"/>
          </w:tcPr>
          <w:p>
            <w:pPr>
              <w:spacing w:after="0"/>
              <w:rPr>
                <w:sz w:val="12"/>
                <w:szCs w:val="12"/>
                <w:color w:val="auto"/>
              </w:rPr>
            </w:pPr>
          </w:p>
        </w:tc>
        <w:tc>
          <w:tcPr>
            <w:tcW w:w="1020" w:type="dxa"/>
            <w:vAlign w:val="bottom"/>
            <w:tcBorders>
              <w:top w:val="single" w:sz="8" w:color="auto"/>
              <w:bottom w:val="single" w:sz="8" w:color="1A475F"/>
            </w:tcBorders>
            <w:shd w:val="clear" w:color="auto" w:fill="CCEEFF"/>
          </w:tcPr>
          <w:p>
            <w:pPr>
              <w:jc w:val="center"/>
              <w:spacing w:after="0"/>
              <w:rPr>
                <w:sz w:val="20"/>
                <w:szCs w:val="20"/>
                <w:color w:val="auto"/>
              </w:rPr>
            </w:pPr>
            <w:r>
              <w:rPr>
                <w:rFonts w:ascii="Arial" w:cs="Arial" w:eastAsia="Arial" w:hAnsi="Arial"/>
                <w:sz w:val="12"/>
                <w:szCs w:val="12"/>
                <w:color w:val="1A475F"/>
              </w:rPr>
              <w:t>$487.44M</w:t>
            </w:r>
          </w:p>
        </w:tc>
        <w:tc>
          <w:tcPr>
            <w:tcW w:w="1080" w:type="dxa"/>
            <w:vAlign w:val="bottom"/>
            <w:tcBorders>
              <w:top w:val="single" w:sz="8" w:color="CCEEFF"/>
              <w:bottom w:val="single" w:sz="8" w:color="1A475F"/>
            </w:tcBorders>
            <w:shd w:val="clear" w:color="auto" w:fill="CCEEFF"/>
          </w:tcPr>
          <w:p>
            <w:pPr>
              <w:spacing w:after="0"/>
              <w:rPr>
                <w:sz w:val="12"/>
                <w:szCs w:val="12"/>
                <w:color w:val="auto"/>
              </w:rPr>
            </w:pPr>
          </w:p>
        </w:tc>
        <w:tc>
          <w:tcPr>
            <w:tcW w:w="780" w:type="dxa"/>
            <w:vAlign w:val="bottom"/>
            <w:tcBorders>
              <w:top w:val="single" w:sz="8" w:color="auto"/>
              <w:bottom w:val="single" w:sz="8" w:color="1A475F"/>
            </w:tcBorders>
            <w:shd w:val="clear" w:color="auto" w:fill="CCEEFF"/>
          </w:tcPr>
          <w:p>
            <w:pPr>
              <w:spacing w:after="0"/>
              <w:rPr>
                <w:sz w:val="12"/>
                <w:szCs w:val="12"/>
                <w:color w:val="auto"/>
              </w:rPr>
            </w:pPr>
          </w:p>
        </w:tc>
        <w:tc>
          <w:tcPr>
            <w:tcW w:w="1240" w:type="dxa"/>
            <w:vAlign w:val="bottom"/>
            <w:tcBorders>
              <w:top w:val="single" w:sz="8" w:color="auto"/>
              <w:bottom w:val="single" w:sz="8" w:color="1A475F"/>
            </w:tcBorders>
            <w:shd w:val="clear" w:color="auto" w:fill="CCEEFF"/>
          </w:tcPr>
          <w:p>
            <w:pPr>
              <w:jc w:val="right"/>
              <w:ind w:right="798"/>
              <w:spacing w:after="0"/>
              <w:rPr>
                <w:sz w:val="20"/>
                <w:szCs w:val="20"/>
                <w:color w:val="auto"/>
              </w:rPr>
            </w:pPr>
            <w:r>
              <w:rPr>
                <w:rFonts w:ascii="Arial" w:cs="Arial" w:eastAsia="Arial" w:hAnsi="Arial"/>
                <w:sz w:val="12"/>
                <w:szCs w:val="12"/>
                <w:color w:val="1A475F"/>
              </w:rPr>
              <w:t>$4.28</w:t>
            </w:r>
          </w:p>
        </w:tc>
        <w:tc>
          <w:tcPr>
            <w:tcW w:w="940" w:type="dxa"/>
            <w:vAlign w:val="bottom"/>
            <w:tcBorders>
              <w:top w:val="single" w:sz="8" w:color="CCEEFF"/>
              <w:bottom w:val="single" w:sz="8" w:color="1A475F"/>
            </w:tcBorders>
            <w:shd w:val="clear" w:color="auto" w:fill="CCEEFF"/>
          </w:tcPr>
          <w:p>
            <w:pPr>
              <w:spacing w:after="0"/>
              <w:rPr>
                <w:sz w:val="12"/>
                <w:szCs w:val="12"/>
                <w:color w:val="auto"/>
              </w:rPr>
            </w:pPr>
          </w:p>
        </w:tc>
        <w:tc>
          <w:tcPr>
            <w:tcW w:w="140" w:type="dxa"/>
            <w:vAlign w:val="bottom"/>
            <w:tcBorders>
              <w:top w:val="single" w:sz="8" w:color="CCEEFF"/>
              <w:bottom w:val="single" w:sz="8" w:color="1A475F"/>
            </w:tcBorders>
            <w:shd w:val="clear" w:color="auto" w:fill="CCEEFF"/>
          </w:tcPr>
          <w:p>
            <w:pPr>
              <w:spacing w:after="0"/>
              <w:rPr>
                <w:sz w:val="12"/>
                <w:szCs w:val="12"/>
                <w:color w:val="auto"/>
              </w:rPr>
            </w:pPr>
          </w:p>
        </w:tc>
        <w:tc>
          <w:tcPr>
            <w:tcW w:w="860" w:type="dxa"/>
            <w:vAlign w:val="bottom"/>
            <w:tcBorders>
              <w:top w:val="single" w:sz="8" w:color="auto"/>
              <w:bottom w:val="single" w:sz="8" w:color="1A475F"/>
            </w:tcBorders>
            <w:shd w:val="clear" w:color="auto" w:fill="CCEEFF"/>
          </w:tcPr>
          <w:p>
            <w:pPr>
              <w:jc w:val="center"/>
              <w:spacing w:after="0"/>
              <w:rPr>
                <w:sz w:val="20"/>
                <w:szCs w:val="20"/>
                <w:color w:val="auto"/>
              </w:rPr>
            </w:pPr>
            <w:r>
              <w:rPr>
                <w:rFonts w:ascii="Arial" w:cs="Arial" w:eastAsia="Arial" w:hAnsi="Arial"/>
                <w:sz w:val="12"/>
                <w:szCs w:val="12"/>
                <w:color w:val="1A475F"/>
              </w:rPr>
              <w:t>$4.55</w:t>
            </w:r>
          </w:p>
        </w:tc>
        <w:tc>
          <w:tcPr>
            <w:tcW w:w="20" w:type="dxa"/>
            <w:vAlign w:val="bottom"/>
            <w:tcBorders>
              <w:bottom w:val="single" w:sz="8" w:color="1A475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20" w:type="dxa"/>
            <w:vAlign w:val="bottom"/>
            <w:tcBorders>
              <w:left w:val="single" w:sz="8" w:color="1A475F"/>
            </w:tcBorders>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3"/>
          </w:tcPr>
          <w:p>
            <w:pPr>
              <w:jc w:val="center"/>
              <w:ind w:right="120"/>
              <w:spacing w:after="0" w:line="134" w:lineRule="exact"/>
              <w:rPr>
                <w:sz w:val="20"/>
                <w:szCs w:val="20"/>
                <w:color w:val="auto"/>
              </w:rPr>
            </w:pPr>
            <w:r>
              <w:rPr>
                <w:rFonts w:ascii="Arial" w:cs="Arial" w:eastAsia="Arial" w:hAnsi="Arial"/>
                <w:sz w:val="12"/>
                <w:szCs w:val="12"/>
                <w:color w:val="1A475F"/>
              </w:rPr>
              <w:t>Achievement between 25%-100% of Target =</w:t>
            </w: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shd w:val="clear" w:color="auto" w:fill="1A47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320" w:type="dxa"/>
            <w:vAlign w:val="bottom"/>
            <w:tcBorders>
              <w:left w:val="single" w:sz="8" w:color="1A475F"/>
              <w:bottom w:val="single" w:sz="8" w:color="1A475F"/>
            </w:tcBorders>
          </w:tcPr>
          <w:p>
            <w:pPr>
              <w:spacing w:after="0"/>
              <w:rPr>
                <w:sz w:val="13"/>
                <w:szCs w:val="13"/>
                <w:color w:val="auto"/>
              </w:rPr>
            </w:pPr>
          </w:p>
        </w:tc>
        <w:tc>
          <w:tcPr>
            <w:tcW w:w="940" w:type="dxa"/>
            <w:vAlign w:val="bottom"/>
            <w:tcBorders>
              <w:bottom w:val="single" w:sz="8" w:color="1A475F"/>
            </w:tcBorders>
          </w:tcPr>
          <w:p>
            <w:pPr>
              <w:spacing w:after="0"/>
              <w:rPr>
                <w:sz w:val="13"/>
                <w:szCs w:val="13"/>
                <w:color w:val="auto"/>
              </w:rPr>
            </w:pPr>
          </w:p>
        </w:tc>
        <w:tc>
          <w:tcPr>
            <w:tcW w:w="3020" w:type="dxa"/>
            <w:vAlign w:val="bottom"/>
            <w:tcBorders>
              <w:bottom w:val="single" w:sz="8" w:color="1A475F"/>
            </w:tcBorders>
            <w:gridSpan w:val="4"/>
          </w:tcPr>
          <w:p>
            <w:pPr>
              <w:jc w:val="center"/>
              <w:spacing w:after="0"/>
              <w:rPr>
                <w:sz w:val="20"/>
                <w:szCs w:val="20"/>
                <w:color w:val="auto"/>
              </w:rPr>
            </w:pPr>
            <w:r>
              <w:rPr>
                <w:rFonts w:ascii="Arial" w:cs="Arial" w:eastAsia="Arial" w:hAnsi="Arial"/>
                <w:sz w:val="12"/>
                <w:szCs w:val="12"/>
                <w:color w:val="1A475F"/>
              </w:rPr>
              <w:t>Payout on a sliding scale beginning at 50% of bonus.</w:t>
            </w:r>
          </w:p>
        </w:tc>
        <w:tc>
          <w:tcPr>
            <w:tcW w:w="1240" w:type="dxa"/>
            <w:vAlign w:val="bottom"/>
            <w:tcBorders>
              <w:bottom w:val="single" w:sz="8" w:color="1A475F"/>
            </w:tcBorders>
          </w:tcPr>
          <w:p>
            <w:pPr>
              <w:spacing w:after="0"/>
              <w:rPr>
                <w:sz w:val="13"/>
                <w:szCs w:val="13"/>
                <w:color w:val="auto"/>
              </w:rPr>
            </w:pPr>
          </w:p>
        </w:tc>
        <w:tc>
          <w:tcPr>
            <w:tcW w:w="940" w:type="dxa"/>
            <w:vAlign w:val="bottom"/>
            <w:tcBorders>
              <w:bottom w:val="single" w:sz="8" w:color="1A475F"/>
            </w:tcBorders>
          </w:tcPr>
          <w:p>
            <w:pPr>
              <w:spacing w:after="0"/>
              <w:rPr>
                <w:sz w:val="13"/>
                <w:szCs w:val="13"/>
                <w:color w:val="auto"/>
              </w:rPr>
            </w:pPr>
          </w:p>
        </w:tc>
        <w:tc>
          <w:tcPr>
            <w:tcW w:w="140" w:type="dxa"/>
            <w:vAlign w:val="bottom"/>
            <w:tcBorders>
              <w:bottom w:val="single" w:sz="8" w:color="1A475F"/>
            </w:tcBorders>
          </w:tcPr>
          <w:p>
            <w:pPr>
              <w:spacing w:after="0"/>
              <w:rPr>
                <w:sz w:val="13"/>
                <w:szCs w:val="13"/>
                <w:color w:val="auto"/>
              </w:rPr>
            </w:pPr>
          </w:p>
        </w:tc>
        <w:tc>
          <w:tcPr>
            <w:tcW w:w="860" w:type="dxa"/>
            <w:vAlign w:val="bottom"/>
            <w:tcBorders>
              <w:bottom w:val="single" w:sz="8" w:color="1A475F"/>
            </w:tcBorders>
          </w:tcPr>
          <w:p>
            <w:pPr>
              <w:spacing w:after="0"/>
              <w:rPr>
                <w:sz w:val="13"/>
                <w:szCs w:val="13"/>
                <w:color w:val="auto"/>
              </w:rPr>
            </w:pPr>
          </w:p>
        </w:tc>
        <w:tc>
          <w:tcPr>
            <w:tcW w:w="20" w:type="dxa"/>
            <w:vAlign w:val="bottom"/>
            <w:tcBorders>
              <w:bottom w:val="single" w:sz="8" w:color="1A475F"/>
            </w:tcBorders>
            <w:shd w:val="clear" w:color="auto" w:fill="1A475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73660</wp:posOffset>
            </wp:positionV>
            <wp:extent cx="65405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1" w:lineRule="exact"/>
        <w:rPr>
          <w:sz w:val="20"/>
          <w:szCs w:val="20"/>
          <w:color w:val="auto"/>
        </w:rPr>
      </w:pPr>
    </w:p>
    <w:p>
      <w:pPr>
        <w:ind w:left="1140" w:right="180" w:hanging="246"/>
        <w:spacing w:after="0" w:line="234" w:lineRule="auto"/>
        <w:rPr>
          <w:sz w:val="20"/>
          <w:szCs w:val="20"/>
          <w:color w:val="auto"/>
        </w:rPr>
      </w:pPr>
      <w:r>
        <w:rPr>
          <w:rFonts w:ascii="Arial" w:cs="Arial" w:eastAsia="Arial" w:hAnsi="Arial"/>
          <w:sz w:val="18"/>
          <w:szCs w:val="18"/>
          <w:color w:val="1A475F"/>
          <w:vertAlign w:val="superscript"/>
        </w:rPr>
        <w:t>(1)</w:t>
      </w:r>
      <w:r>
        <w:rPr>
          <w:rFonts w:ascii="Arial" w:cs="Arial" w:eastAsia="Arial" w:hAnsi="Arial"/>
          <w:sz w:val="12"/>
          <w:szCs w:val="12"/>
          <w:color w:val="1A475F"/>
        </w:rPr>
        <w:t xml:space="preserve">   Adjusted EBITDA and Adjusted EPS are financial measures that are not calculated in accordance with GAAP, which are commonly referred to as “non-GAAP measures.” For 2025, Adjusted EBITDA represents EBITDA (which is net income, as determined in accordance with GAAP, before interest expense, income tax expense, depreciation and amortization) adjusted to exclude the impact of stock-based compensation expense and non-recurring costs, such as impairment and net lease termination costs, debt refinance costs, and at times, other non-recurring costs, such as transaction costs. We calculate Adjusted EPS based on adjusted net income, which represents net income determined in accordance with GAAP, adjusted to exclude the impact of stock-based compensation expense, amortization, and non-recurring costs, such as impairment and net lease termination costs, debt refinance costs, interest incurred related to a pre-acquisition obligation, and the income tax provision (benefit) thereon and, at times, other non-recurring costs, such as transaction costs, divided by the diluted weighted average number of our common shares. Please see “Item 7. Management’s Discussion and Analysis of Financial Condition—Non-GAAP Financial Measures and Reconci liation” in our 2025 Annual Report for additional information on Adjusted EBITDA and Adjusted EPS (or diluted adjusted earnings per common share) and a reconciliation of these non-GAAP financial measures to their respective measures determined under GAAP.</w:t>
      </w:r>
    </w:p>
    <w:p>
      <w:pPr>
        <w:spacing w:after="0" w:line="179" w:lineRule="exact"/>
        <w:rPr>
          <w:sz w:val="20"/>
          <w:szCs w:val="20"/>
          <w:color w:val="auto"/>
        </w:rPr>
      </w:pPr>
    </w:p>
    <w:p>
      <w:pPr>
        <w:ind w:left="900" w:right="440" w:firstLine="756"/>
        <w:spacing w:after="0" w:line="296" w:lineRule="auto"/>
        <w:rPr>
          <w:sz w:val="20"/>
          <w:szCs w:val="20"/>
          <w:color w:val="auto"/>
        </w:rPr>
      </w:pPr>
      <w:r>
        <w:rPr>
          <w:rFonts w:ascii="Arial" w:cs="Arial" w:eastAsia="Arial" w:hAnsi="Arial"/>
          <w:sz w:val="15"/>
          <w:szCs w:val="15"/>
          <w:b w:val="1"/>
          <w:bCs w:val="1"/>
          <w:color w:val="1A475F"/>
        </w:rPr>
        <w:t>The Compensation Committee determined the weighted average performance achievement resulted in each NEO earning 116% of the 50% portion of the 2025 annual cash bonus award based on corporate performance.</w:t>
      </w:r>
    </w:p>
    <w:p>
      <w:pPr>
        <w:spacing w:after="0" w:line="109" w:lineRule="exact"/>
        <w:rPr>
          <w:sz w:val="20"/>
          <w:szCs w:val="20"/>
          <w:color w:val="auto"/>
        </w:rPr>
      </w:pPr>
    </w:p>
    <w:p>
      <w:pPr>
        <w:ind w:left="900" w:right="20" w:firstLine="756"/>
        <w:spacing w:after="0" w:line="261" w:lineRule="auto"/>
        <w:rPr>
          <w:sz w:val="20"/>
          <w:szCs w:val="20"/>
          <w:color w:val="auto"/>
        </w:rPr>
      </w:pPr>
      <w:r>
        <w:rPr>
          <w:rFonts w:ascii="Arial" w:cs="Arial" w:eastAsia="Arial" w:hAnsi="Arial"/>
          <w:sz w:val="15"/>
          <w:szCs w:val="15"/>
          <w:i w:val="1"/>
          <w:iCs w:val="1"/>
          <w:color w:val="1A475F"/>
        </w:rPr>
        <w:t xml:space="preserve">2025 Annual Cash Bonus Payout. </w:t>
      </w:r>
      <w:r>
        <w:rPr>
          <w:rFonts w:ascii="Arial" w:cs="Arial" w:eastAsia="Arial" w:hAnsi="Arial"/>
          <w:sz w:val="15"/>
          <w:szCs w:val="15"/>
          <w:color w:val="1A475F"/>
        </w:rPr>
        <w:t>During the first quarter of 2026, the Compensation Committee assessed (1) the achievement</w:t>
      </w:r>
      <w:r>
        <w:rPr>
          <w:rFonts w:ascii="Arial" w:cs="Arial" w:eastAsia="Arial" w:hAnsi="Arial"/>
          <w:sz w:val="15"/>
          <w:szCs w:val="15"/>
          <w:i w:val="1"/>
          <w:iCs w:val="1"/>
          <w:color w:val="1A475F"/>
        </w:rPr>
        <w:t xml:space="preserve"> </w:t>
      </w:r>
      <w:r>
        <w:rPr>
          <w:rFonts w:ascii="Arial" w:cs="Arial" w:eastAsia="Arial" w:hAnsi="Arial"/>
          <w:sz w:val="15"/>
          <w:szCs w:val="15"/>
          <w:color w:val="1A475F"/>
        </w:rPr>
        <w:t>of individual performance goals for each NEO, including the strategic and operational decisions made to achieve the Company’s financial performance targets and (2) the overall corporate performance achievement.</w:t>
      </w:r>
    </w:p>
    <w:p>
      <w:pPr>
        <w:spacing w:after="0" w:line="143" w:lineRule="exact"/>
        <w:rPr>
          <w:sz w:val="20"/>
          <w:szCs w:val="20"/>
          <w:color w:val="auto"/>
        </w:rPr>
      </w:pPr>
    </w:p>
    <w:p>
      <w:pPr>
        <w:ind w:left="900" w:right="20" w:firstLine="756"/>
        <w:spacing w:after="0" w:line="261" w:lineRule="auto"/>
        <w:rPr>
          <w:sz w:val="20"/>
          <w:szCs w:val="20"/>
          <w:color w:val="auto"/>
        </w:rPr>
      </w:pPr>
      <w:r>
        <w:rPr>
          <w:rFonts w:ascii="Arial" w:cs="Arial" w:eastAsia="Arial" w:hAnsi="Arial"/>
          <w:sz w:val="15"/>
          <w:szCs w:val="15"/>
          <w:color w:val="1A475F"/>
        </w:rPr>
        <w:t>The Compensation Committee has discretion to include, exclude or adjust for certain non-recurring or isolated charges, or to adjust the amount that each NEO earns with respect to his or her annual cash bonus based on other factors it deems appropriate. In 2025, the Compensation Committee did not exercise such discretion.</w:t>
      </w:r>
    </w:p>
    <w:p>
      <w:pPr>
        <w:spacing w:after="0" w:line="143" w:lineRule="exact"/>
        <w:rPr>
          <w:sz w:val="20"/>
          <w:szCs w:val="20"/>
          <w:color w:val="auto"/>
        </w:rPr>
      </w:pPr>
    </w:p>
    <w:p>
      <w:pPr>
        <w:ind w:left="900" w:right="600" w:firstLine="756"/>
        <w:spacing w:after="0" w:line="282" w:lineRule="auto"/>
        <w:rPr>
          <w:sz w:val="20"/>
          <w:szCs w:val="20"/>
          <w:color w:val="auto"/>
        </w:rPr>
      </w:pPr>
      <w:r>
        <w:rPr>
          <w:rFonts w:ascii="Arial" w:cs="Arial" w:eastAsia="Arial" w:hAnsi="Arial"/>
          <w:sz w:val="15"/>
          <w:szCs w:val="15"/>
          <w:color w:val="1A475F"/>
        </w:rPr>
        <w:t>Based on individual performance and corporate performance levels as described above, the Compensation Committee determined that our NEOs would receive the following total cash bonuses for 2025 under our annual cash bonus plan:</w:t>
      </w:r>
    </w:p>
    <w:p>
      <w:pPr>
        <w:spacing w:after="0" w:line="157" w:lineRule="exact"/>
        <w:rPr>
          <w:sz w:val="20"/>
          <w:szCs w:val="20"/>
          <w:color w:val="auto"/>
        </w:rPr>
      </w:pPr>
    </w:p>
    <w:tbl>
      <w:tblPr>
        <w:tblLayout w:type="fixed"/>
        <w:tblInd w:w="900" w:type="dxa"/>
        <w:tblCellMar>
          <w:top w:w="0" w:type="dxa"/>
          <w:left w:w="0" w:type="dxa"/>
          <w:bottom w:w="0" w:type="dxa"/>
          <w:right w:w="0" w:type="dxa"/>
        </w:tblCellMar>
      </w:tblPr>
      <w:tr>
        <w:trPr>
          <w:trHeight w:val="139"/>
        </w:trPr>
        <w:tc>
          <w:tcPr>
            <w:tcW w:w="3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40" w:type="dxa"/>
            <w:vAlign w:val="bottom"/>
            <w:gridSpan w:val="6"/>
          </w:tcPr>
          <w:p>
            <w:pPr>
              <w:jc w:val="right"/>
              <w:ind w:right="218"/>
              <w:spacing w:after="0"/>
              <w:rPr>
                <w:sz w:val="20"/>
                <w:szCs w:val="20"/>
                <w:color w:val="auto"/>
              </w:rPr>
            </w:pPr>
            <w:r>
              <w:rPr>
                <w:rFonts w:ascii="Arial" w:cs="Arial" w:eastAsia="Arial" w:hAnsi="Arial"/>
                <w:sz w:val="12"/>
                <w:szCs w:val="12"/>
                <w:b w:val="1"/>
                <w:bCs w:val="1"/>
                <w:color w:val="1A475F"/>
              </w:rPr>
              <w:t>Corporate Performance</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b w:val="1"/>
                <w:bCs w:val="1"/>
                <w:color w:val="1A475F"/>
              </w:rPr>
              <w:t>Weighted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b w:val="1"/>
                <w:bCs w:val="1"/>
                <w:color w:val="1A475F"/>
              </w:rPr>
              <w:t>(50%)</w:t>
            </w: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rPr>
              <w:t>Average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center"/>
              <w:ind w:right="60"/>
              <w:spacing w:after="0" w:line="123" w:lineRule="exact"/>
              <w:rPr>
                <w:sz w:val="20"/>
                <w:szCs w:val="20"/>
                <w:color w:val="auto"/>
              </w:rPr>
            </w:pPr>
            <w:r>
              <w:rPr>
                <w:rFonts w:ascii="Arial" w:cs="Arial" w:eastAsia="Arial" w:hAnsi="Arial"/>
                <w:sz w:val="12"/>
                <w:szCs w:val="12"/>
                <w:b w:val="1"/>
                <w:bCs w:val="1"/>
                <w:color w:val="1A475F"/>
              </w:rPr>
              <w:t>Target Bonus</w:t>
            </w:r>
          </w:p>
        </w:tc>
        <w:tc>
          <w:tcPr>
            <w:tcW w:w="980" w:type="dxa"/>
            <w:vAlign w:val="bottom"/>
          </w:tcPr>
          <w:p>
            <w:pPr>
              <w:jc w:val="center"/>
              <w:spacing w:after="0" w:line="123" w:lineRule="exact"/>
              <w:rPr>
                <w:sz w:val="20"/>
                <w:szCs w:val="20"/>
                <w:color w:val="auto"/>
              </w:rPr>
            </w:pPr>
            <w:r>
              <w:rPr>
                <w:rFonts w:ascii="Arial" w:cs="Arial" w:eastAsia="Arial" w:hAnsi="Arial"/>
                <w:sz w:val="12"/>
                <w:szCs w:val="12"/>
                <w:b w:val="1"/>
                <w:bCs w:val="1"/>
                <w:color w:val="1A475F"/>
                <w:w w:val="99"/>
              </w:rPr>
              <w:t>Individual</w:t>
            </w:r>
          </w:p>
        </w:tc>
        <w:tc>
          <w:tcPr>
            <w:tcW w:w="60" w:type="dxa"/>
            <w:vAlign w:val="bottom"/>
          </w:tcPr>
          <w:p>
            <w:pPr>
              <w:spacing w:after="0"/>
              <w:rPr>
                <w:sz w:val="10"/>
                <w:szCs w:val="10"/>
                <w:color w:val="auto"/>
              </w:rPr>
            </w:pPr>
          </w:p>
        </w:tc>
        <w:tc>
          <w:tcPr>
            <w:tcW w:w="1160" w:type="dxa"/>
            <w:vAlign w:val="bottom"/>
            <w:gridSpan w:val="4"/>
          </w:tcPr>
          <w:p>
            <w:pPr>
              <w:spacing w:after="0" w:line="123" w:lineRule="exact"/>
              <w:rPr>
                <w:sz w:val="20"/>
                <w:szCs w:val="20"/>
                <w:color w:val="auto"/>
              </w:rPr>
            </w:pPr>
            <w:r>
              <w:rPr>
                <w:rFonts w:ascii="Arial" w:cs="Arial" w:eastAsia="Arial" w:hAnsi="Arial"/>
                <w:sz w:val="12"/>
                <w:szCs w:val="12"/>
                <w:b w:val="1"/>
                <w:bCs w:val="1"/>
                <w:color w:val="1A475F"/>
              </w:rPr>
              <w:t>Adjusted Adjusted</w:t>
            </w:r>
          </w:p>
        </w:tc>
        <w:tc>
          <w:tcPr>
            <w:tcW w:w="20" w:type="dxa"/>
            <w:vAlign w:val="bottom"/>
          </w:tcPr>
          <w:p>
            <w:pPr>
              <w:spacing w:after="0"/>
              <w:rPr>
                <w:sz w:val="10"/>
                <w:szCs w:val="10"/>
                <w:color w:val="auto"/>
              </w:rPr>
            </w:pPr>
          </w:p>
        </w:tc>
        <w:tc>
          <w:tcPr>
            <w:tcW w:w="760" w:type="dxa"/>
            <w:vAlign w:val="bottom"/>
          </w:tcPr>
          <w:p>
            <w:pPr>
              <w:jc w:val="right"/>
              <w:ind w:right="38"/>
              <w:spacing w:after="0" w:line="123" w:lineRule="exact"/>
              <w:rPr>
                <w:sz w:val="20"/>
                <w:szCs w:val="20"/>
                <w:color w:val="auto"/>
              </w:rPr>
            </w:pPr>
            <w:r>
              <w:rPr>
                <w:rFonts w:ascii="Arial" w:cs="Arial" w:eastAsia="Arial" w:hAnsi="Arial"/>
                <w:sz w:val="12"/>
                <w:szCs w:val="12"/>
                <w:b w:val="1"/>
                <w:bCs w:val="1"/>
                <w:color w:val="1A475F"/>
              </w:rPr>
              <w:t>Weighted</w:t>
            </w:r>
          </w:p>
        </w:tc>
        <w:tc>
          <w:tcPr>
            <w:tcW w:w="60" w:type="dxa"/>
            <w:vAlign w:val="bottom"/>
          </w:tcPr>
          <w:p>
            <w:pPr>
              <w:spacing w:after="0"/>
              <w:rPr>
                <w:sz w:val="10"/>
                <w:szCs w:val="10"/>
                <w:color w:val="auto"/>
              </w:rPr>
            </w:pPr>
          </w:p>
        </w:tc>
        <w:tc>
          <w:tcPr>
            <w:tcW w:w="620" w:type="dxa"/>
            <w:vAlign w:val="bottom"/>
            <w:gridSpan w:val="2"/>
          </w:tcPr>
          <w:p>
            <w:pPr>
              <w:jc w:val="center"/>
              <w:ind w:right="60"/>
              <w:spacing w:after="0" w:line="123" w:lineRule="exact"/>
              <w:rPr>
                <w:sz w:val="20"/>
                <w:szCs w:val="20"/>
                <w:color w:val="auto"/>
              </w:rPr>
            </w:pPr>
            <w:r>
              <w:rPr>
                <w:rFonts w:ascii="Arial" w:cs="Arial" w:eastAsia="Arial" w:hAnsi="Arial"/>
                <w:sz w:val="12"/>
                <w:szCs w:val="12"/>
                <w:b w:val="1"/>
                <w:bCs w:val="1"/>
                <w:color w:val="1A475F"/>
                <w:w w:val="97"/>
              </w:rPr>
              <w:t>Total</w:t>
            </w:r>
          </w:p>
        </w:tc>
        <w:tc>
          <w:tcPr>
            <w:tcW w:w="1120" w:type="dxa"/>
            <w:vAlign w:val="bottom"/>
          </w:tcPr>
          <w:p>
            <w:pPr>
              <w:jc w:val="center"/>
              <w:spacing w:after="0" w:line="123" w:lineRule="exact"/>
              <w:rPr>
                <w:sz w:val="20"/>
                <w:szCs w:val="20"/>
                <w:color w:val="auto"/>
              </w:rPr>
            </w:pPr>
            <w:r>
              <w:rPr>
                <w:rFonts w:ascii="Arial" w:cs="Arial" w:eastAsia="Arial" w:hAnsi="Arial"/>
                <w:sz w:val="12"/>
                <w:szCs w:val="12"/>
                <w:b w:val="1"/>
                <w:bCs w:val="1"/>
                <w:color w:val="1A475F"/>
              </w:rPr>
              <w:t>Actual Bonus</w:t>
            </w:r>
          </w:p>
        </w:tc>
        <w:tc>
          <w:tcPr>
            <w:tcW w:w="0" w:type="dxa"/>
            <w:vAlign w:val="bottom"/>
          </w:tcPr>
          <w:p>
            <w:pPr>
              <w:spacing w:after="0"/>
              <w:rPr>
                <w:sz w:val="1"/>
                <w:szCs w:val="1"/>
                <w:color w:val="auto"/>
              </w:rPr>
            </w:pPr>
          </w:p>
        </w:tc>
      </w:tr>
      <w:tr>
        <w:trPr>
          <w:trHeight w:val="139"/>
        </w:trPr>
        <w:tc>
          <w:tcPr>
            <w:tcW w:w="3720" w:type="dxa"/>
            <w:vAlign w:val="bottom"/>
            <w:vMerge w:val="restart"/>
          </w:tcPr>
          <w:p>
            <w:pPr>
              <w:spacing w:after="0"/>
              <w:rPr>
                <w:sz w:val="20"/>
                <w:szCs w:val="20"/>
                <w:color w:val="auto"/>
              </w:rPr>
            </w:pPr>
            <w:r>
              <w:rPr>
                <w:rFonts w:ascii="Arial" w:cs="Arial" w:eastAsia="Arial" w:hAnsi="Arial"/>
                <w:sz w:val="12"/>
                <w:szCs w:val="12"/>
                <w:b w:val="1"/>
                <w:bCs w:val="1"/>
                <w:color w:val="1A475F"/>
              </w:rPr>
              <w:t>Named Executive Officer</w:t>
            </w:r>
          </w:p>
        </w:tc>
        <w:tc>
          <w:tcPr>
            <w:tcW w:w="40" w:type="dxa"/>
            <w:vAlign w:val="bottom"/>
          </w:tcPr>
          <w:p>
            <w:pPr>
              <w:spacing w:after="0"/>
              <w:rPr>
                <w:sz w:val="12"/>
                <w:szCs w:val="12"/>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rPr>
              <w:t>Opportunity</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1A475F"/>
              </w:rPr>
              <w:t>Performance</w:t>
            </w:r>
          </w:p>
        </w:tc>
        <w:tc>
          <w:tcPr>
            <w:tcW w:w="6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1A475F"/>
              </w:rPr>
              <w:t>EBITDA</w:t>
            </w:r>
          </w:p>
        </w:tc>
        <w:tc>
          <w:tcPr>
            <w:tcW w:w="580" w:type="dxa"/>
            <w:vAlign w:val="bottom"/>
            <w:gridSpan w:val="2"/>
          </w:tcPr>
          <w:p>
            <w:pPr>
              <w:ind w:left="140"/>
              <w:spacing w:after="0"/>
              <w:rPr>
                <w:sz w:val="20"/>
                <w:szCs w:val="20"/>
                <w:color w:val="auto"/>
              </w:rPr>
            </w:pPr>
            <w:r>
              <w:rPr>
                <w:rFonts w:ascii="Arial" w:cs="Arial" w:eastAsia="Arial" w:hAnsi="Arial"/>
                <w:sz w:val="12"/>
                <w:szCs w:val="12"/>
                <w:b w:val="1"/>
                <w:bCs w:val="1"/>
                <w:color w:val="1A475F"/>
              </w:rPr>
              <w:t>EPS</w:t>
            </w:r>
          </w:p>
        </w:tc>
        <w:tc>
          <w:tcPr>
            <w:tcW w:w="20" w:type="dxa"/>
            <w:vAlign w:val="bottom"/>
          </w:tcPr>
          <w:p>
            <w:pPr>
              <w:spacing w:after="0"/>
              <w:rPr>
                <w:sz w:val="12"/>
                <w:szCs w:val="12"/>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b w:val="1"/>
                <w:bCs w:val="1"/>
                <w:color w:val="1A475F"/>
              </w:rPr>
              <w:t>Average</w:t>
            </w:r>
          </w:p>
        </w:tc>
        <w:tc>
          <w:tcPr>
            <w:tcW w:w="60" w:type="dxa"/>
            <w:vAlign w:val="bottom"/>
          </w:tcPr>
          <w:p>
            <w:pPr>
              <w:spacing w:after="0"/>
              <w:rPr>
                <w:sz w:val="12"/>
                <w:szCs w:val="12"/>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rPr>
              <w:t>Bonus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1A475F"/>
              </w:rPr>
              <w:t>Paid as % of</w:t>
            </w:r>
          </w:p>
        </w:tc>
        <w:tc>
          <w:tcPr>
            <w:tcW w:w="0" w:type="dxa"/>
            <w:vAlign w:val="bottom"/>
          </w:tcPr>
          <w:p>
            <w:pPr>
              <w:spacing w:after="0"/>
              <w:rPr>
                <w:sz w:val="1"/>
                <w:szCs w:val="1"/>
                <w:color w:val="auto"/>
              </w:rPr>
            </w:pPr>
          </w:p>
        </w:tc>
      </w:tr>
      <w:tr>
        <w:trPr>
          <w:trHeight w:val="147"/>
        </w:trPr>
        <w:tc>
          <w:tcPr>
            <w:tcW w:w="3720" w:type="dxa"/>
            <w:vAlign w:val="bottom"/>
            <w:vMerge w:val="continue"/>
          </w:tcPr>
          <w:p>
            <w:pPr>
              <w:spacing w:after="0"/>
              <w:rPr>
                <w:sz w:val="12"/>
                <w:szCs w:val="12"/>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1A475F"/>
              </w:rPr>
              <w:t>as % of Salary</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1A475F"/>
                <w:w w:val="99"/>
              </w:rPr>
              <w:t>(50%)</w:t>
            </w:r>
          </w:p>
        </w:tc>
        <w:tc>
          <w:tcPr>
            <w:tcW w:w="580" w:type="dxa"/>
            <w:vAlign w:val="bottom"/>
            <w:gridSpan w:val="2"/>
          </w:tcPr>
          <w:p>
            <w:pPr>
              <w:ind w:left="140"/>
              <w:spacing w:after="0"/>
              <w:rPr>
                <w:sz w:val="20"/>
                <w:szCs w:val="20"/>
                <w:color w:val="auto"/>
              </w:rPr>
            </w:pPr>
            <w:r>
              <w:rPr>
                <w:rFonts w:ascii="Arial" w:cs="Arial" w:eastAsia="Arial" w:hAnsi="Arial"/>
                <w:sz w:val="12"/>
                <w:szCs w:val="12"/>
                <w:b w:val="1"/>
                <w:bCs w:val="1"/>
                <w:color w:val="1A475F"/>
              </w:rPr>
              <w:t>(25%)</w:t>
            </w:r>
          </w:p>
        </w:tc>
        <w:tc>
          <w:tcPr>
            <w:tcW w:w="60" w:type="dxa"/>
            <w:vAlign w:val="bottom"/>
          </w:tcPr>
          <w:p>
            <w:pPr>
              <w:spacing w:after="0"/>
              <w:rPr>
                <w:sz w:val="12"/>
                <w:szCs w:val="12"/>
                <w:color w:val="auto"/>
              </w:rPr>
            </w:pPr>
          </w:p>
        </w:tc>
        <w:tc>
          <w:tcPr>
            <w:tcW w:w="540" w:type="dxa"/>
            <w:vAlign w:val="bottom"/>
          </w:tcPr>
          <w:p>
            <w:pPr>
              <w:ind w:left="100"/>
              <w:spacing w:after="0"/>
              <w:rPr>
                <w:sz w:val="20"/>
                <w:szCs w:val="20"/>
                <w:color w:val="auto"/>
              </w:rPr>
            </w:pPr>
            <w:r>
              <w:rPr>
                <w:rFonts w:ascii="Arial" w:cs="Arial" w:eastAsia="Arial" w:hAnsi="Arial"/>
                <w:sz w:val="12"/>
                <w:szCs w:val="12"/>
                <w:b w:val="1"/>
                <w:bCs w:val="1"/>
                <w:color w:val="1A475F"/>
              </w:rPr>
              <w:t>(25%)</w:t>
            </w:r>
          </w:p>
        </w:tc>
        <w:tc>
          <w:tcPr>
            <w:tcW w:w="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1A475F"/>
              </w:rPr>
              <w:t>Achievement</w:t>
            </w:r>
          </w:p>
        </w:tc>
        <w:tc>
          <w:tcPr>
            <w:tcW w:w="60" w:type="dxa"/>
            <w:vAlign w:val="bottom"/>
          </w:tcPr>
          <w:p>
            <w:pPr>
              <w:spacing w:after="0"/>
              <w:rPr>
                <w:sz w:val="12"/>
                <w:szCs w:val="12"/>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w w:val="98"/>
              </w:rPr>
              <w:t>Earned</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1A475F"/>
              </w:rPr>
              <w:t>Salary</w:t>
            </w:r>
          </w:p>
        </w:tc>
        <w:tc>
          <w:tcPr>
            <w:tcW w:w="0" w:type="dxa"/>
            <w:vAlign w:val="bottom"/>
          </w:tcPr>
          <w:p>
            <w:pPr>
              <w:spacing w:after="0"/>
              <w:rPr>
                <w:sz w:val="1"/>
                <w:szCs w:val="1"/>
                <w:color w:val="auto"/>
              </w:rPr>
            </w:pPr>
          </w:p>
        </w:tc>
      </w:tr>
      <w:tr>
        <w:trPr>
          <w:trHeight w:val="130"/>
        </w:trPr>
        <w:tc>
          <w:tcPr>
            <w:tcW w:w="372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2"/>
                <w:szCs w:val="12"/>
                <w:color w:val="1A475F"/>
              </w:rPr>
              <w:t>Stephen H. Kramer</w:t>
            </w:r>
          </w:p>
        </w:tc>
        <w:tc>
          <w:tcPr>
            <w:tcW w:w="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ind w:right="78"/>
              <w:spacing w:after="0" w:line="130" w:lineRule="exact"/>
              <w:rPr>
                <w:sz w:val="20"/>
                <w:szCs w:val="20"/>
                <w:color w:val="auto"/>
              </w:rPr>
            </w:pPr>
            <w:r>
              <w:rPr>
                <w:rFonts w:ascii="Arial" w:cs="Arial" w:eastAsia="Arial" w:hAnsi="Arial"/>
                <w:sz w:val="12"/>
                <w:szCs w:val="12"/>
                <w:color w:val="1A475F"/>
              </w:rPr>
              <w:t>145%</w:t>
            </w:r>
          </w:p>
        </w:tc>
        <w:tc>
          <w:tcPr>
            <w:tcW w:w="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ind w:right="218"/>
              <w:spacing w:after="0" w:line="130" w:lineRule="exact"/>
              <w:rPr>
                <w:sz w:val="20"/>
                <w:szCs w:val="20"/>
                <w:color w:val="auto"/>
              </w:rPr>
            </w:pPr>
            <w:r>
              <w:rPr>
                <w:rFonts w:ascii="Arial" w:cs="Arial" w:eastAsia="Arial" w:hAnsi="Arial"/>
                <w:sz w:val="12"/>
                <w:szCs w:val="12"/>
                <w:color w:val="1A475F"/>
              </w:rPr>
              <w:t>100%</w:t>
            </w: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100"/>
              <w:spacing w:after="0" w:line="130" w:lineRule="exact"/>
              <w:rPr>
                <w:sz w:val="20"/>
                <w:szCs w:val="20"/>
                <w:color w:val="auto"/>
              </w:rPr>
            </w:pPr>
            <w:r>
              <w:rPr>
                <w:rFonts w:ascii="Arial" w:cs="Arial" w:eastAsia="Arial" w:hAnsi="Arial"/>
                <w:sz w:val="12"/>
                <w:szCs w:val="12"/>
                <w:color w:val="1A475F"/>
                <w:w w:val="98"/>
              </w:rPr>
              <w:t>110.3%</w:t>
            </w: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100"/>
              <w:spacing w:after="0" w:line="130" w:lineRule="exact"/>
              <w:rPr>
                <w:sz w:val="20"/>
                <w:szCs w:val="20"/>
                <w:color w:val="auto"/>
              </w:rPr>
            </w:pPr>
            <w:r>
              <w:rPr>
                <w:rFonts w:ascii="Arial" w:cs="Arial" w:eastAsia="Arial" w:hAnsi="Arial"/>
                <w:sz w:val="12"/>
                <w:szCs w:val="12"/>
                <w:color w:val="1A475F"/>
              </w:rPr>
              <w:t>122.2%</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1A475F"/>
              </w:rPr>
              <w:t>116.0%</w:t>
            </w: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1A475F"/>
              </w:rPr>
              <w:t>108.0%</w:t>
            </w:r>
          </w:p>
        </w:tc>
        <w:tc>
          <w:tcPr>
            <w:tcW w:w="6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218"/>
              <w:spacing w:after="0" w:line="130" w:lineRule="exact"/>
              <w:rPr>
                <w:sz w:val="20"/>
                <w:szCs w:val="20"/>
                <w:color w:val="auto"/>
              </w:rPr>
            </w:pPr>
            <w:r>
              <w:rPr>
                <w:rFonts w:ascii="Arial" w:cs="Arial" w:eastAsia="Arial" w:hAnsi="Arial"/>
                <w:sz w:val="12"/>
                <w:szCs w:val="12"/>
                <w:color w:val="1A475F"/>
              </w:rPr>
              <w:t>156.6%</w:t>
            </w:r>
          </w:p>
        </w:tc>
        <w:tc>
          <w:tcPr>
            <w:tcW w:w="0" w:type="dxa"/>
            <w:vAlign w:val="bottom"/>
          </w:tcPr>
          <w:p>
            <w:pPr>
              <w:spacing w:after="0"/>
              <w:rPr>
                <w:sz w:val="1"/>
                <w:szCs w:val="1"/>
                <w:color w:val="auto"/>
              </w:rPr>
            </w:pPr>
          </w:p>
        </w:tc>
      </w:tr>
      <w:tr>
        <w:trPr>
          <w:trHeight w:val="139"/>
        </w:trPr>
        <w:tc>
          <w:tcPr>
            <w:tcW w:w="3720" w:type="dxa"/>
            <w:vAlign w:val="bottom"/>
          </w:tcPr>
          <w:p>
            <w:pPr>
              <w:spacing w:after="0"/>
              <w:rPr>
                <w:sz w:val="20"/>
                <w:szCs w:val="20"/>
                <w:color w:val="auto"/>
              </w:rPr>
            </w:pPr>
            <w:r>
              <w:rPr>
                <w:rFonts w:ascii="Arial" w:cs="Arial" w:eastAsia="Arial" w:hAnsi="Arial"/>
                <w:sz w:val="12"/>
                <w:szCs w:val="12"/>
                <w:color w:val="1A475F"/>
              </w:rPr>
              <w:t>Elizabeth J. Boland</w:t>
            </w:r>
          </w:p>
        </w:tc>
        <w:tc>
          <w:tcPr>
            <w:tcW w:w="900" w:type="dxa"/>
            <w:vAlign w:val="bottom"/>
            <w:gridSpan w:val="2"/>
          </w:tcPr>
          <w:p>
            <w:pPr>
              <w:jc w:val="right"/>
              <w:ind w:right="78"/>
              <w:spacing w:after="0"/>
              <w:rPr>
                <w:sz w:val="20"/>
                <w:szCs w:val="20"/>
                <w:color w:val="auto"/>
              </w:rPr>
            </w:pPr>
            <w:r>
              <w:rPr>
                <w:rFonts w:ascii="Arial" w:cs="Arial" w:eastAsia="Arial" w:hAnsi="Arial"/>
                <w:sz w:val="12"/>
                <w:szCs w:val="12"/>
                <w:color w:val="1A475F"/>
              </w:rPr>
              <w:t>100%</w:t>
            </w:r>
          </w:p>
        </w:tc>
        <w:tc>
          <w:tcPr>
            <w:tcW w:w="60" w:type="dxa"/>
            <w:vAlign w:val="bottom"/>
          </w:tcPr>
          <w:p>
            <w:pPr>
              <w:spacing w:after="0"/>
              <w:rPr>
                <w:sz w:val="12"/>
                <w:szCs w:val="12"/>
                <w:color w:val="auto"/>
              </w:rPr>
            </w:pPr>
          </w:p>
        </w:tc>
        <w:tc>
          <w:tcPr>
            <w:tcW w:w="980" w:type="dxa"/>
            <w:vAlign w:val="bottom"/>
          </w:tcPr>
          <w:p>
            <w:pPr>
              <w:jc w:val="right"/>
              <w:ind w:right="218"/>
              <w:spacing w:after="0"/>
              <w:rPr>
                <w:sz w:val="20"/>
                <w:szCs w:val="20"/>
                <w:color w:val="auto"/>
              </w:rPr>
            </w:pPr>
            <w:r>
              <w:rPr>
                <w:rFonts w:ascii="Arial" w:cs="Arial" w:eastAsia="Arial" w:hAnsi="Arial"/>
                <w:sz w:val="12"/>
                <w:szCs w:val="12"/>
                <w:color w:val="1A475F"/>
              </w:rPr>
              <w:t>100%</w:t>
            </w:r>
          </w:p>
        </w:tc>
        <w:tc>
          <w:tcPr>
            <w:tcW w:w="580" w:type="dxa"/>
            <w:vAlign w:val="bottom"/>
            <w:gridSpan w:val="2"/>
          </w:tcPr>
          <w:p>
            <w:pPr>
              <w:ind w:left="160"/>
              <w:spacing w:after="0"/>
              <w:rPr>
                <w:sz w:val="20"/>
                <w:szCs w:val="20"/>
                <w:color w:val="auto"/>
              </w:rPr>
            </w:pPr>
            <w:r>
              <w:rPr>
                <w:rFonts w:ascii="Arial" w:cs="Arial" w:eastAsia="Arial" w:hAnsi="Arial"/>
                <w:sz w:val="12"/>
                <w:szCs w:val="12"/>
                <w:color w:val="1A475F"/>
                <w:w w:val="98"/>
              </w:rPr>
              <w:t>110.3%</w:t>
            </w:r>
          </w:p>
        </w:tc>
        <w:tc>
          <w:tcPr>
            <w:tcW w:w="60" w:type="dxa"/>
            <w:vAlign w:val="bottom"/>
          </w:tcPr>
          <w:p>
            <w:pPr>
              <w:spacing w:after="0"/>
              <w:rPr>
                <w:sz w:val="12"/>
                <w:szCs w:val="12"/>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1A475F"/>
              </w:rPr>
              <w:t>122.2%</w:t>
            </w:r>
          </w:p>
        </w:tc>
        <w:tc>
          <w:tcPr>
            <w:tcW w:w="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1A475F"/>
              </w:rPr>
              <w:t>116.0%</w:t>
            </w:r>
          </w:p>
        </w:tc>
        <w:tc>
          <w:tcPr>
            <w:tcW w:w="620" w:type="dxa"/>
            <w:vAlign w:val="bottom"/>
            <w:gridSpan w:val="2"/>
          </w:tcPr>
          <w:p>
            <w:pPr>
              <w:jc w:val="right"/>
              <w:spacing w:after="0"/>
              <w:rPr>
                <w:sz w:val="20"/>
                <w:szCs w:val="20"/>
                <w:color w:val="auto"/>
              </w:rPr>
            </w:pPr>
            <w:r>
              <w:rPr>
                <w:rFonts w:ascii="Arial" w:cs="Arial" w:eastAsia="Arial" w:hAnsi="Arial"/>
                <w:sz w:val="12"/>
                <w:szCs w:val="12"/>
                <w:color w:val="1A475F"/>
              </w:rPr>
              <w:t>108.0%</w:t>
            </w:r>
          </w:p>
        </w:tc>
        <w:tc>
          <w:tcPr>
            <w:tcW w:w="60" w:type="dxa"/>
            <w:vAlign w:val="bottom"/>
          </w:tcPr>
          <w:p>
            <w:pPr>
              <w:spacing w:after="0"/>
              <w:rPr>
                <w:sz w:val="12"/>
                <w:szCs w:val="12"/>
                <w:color w:val="auto"/>
              </w:rPr>
            </w:pPr>
          </w:p>
        </w:tc>
        <w:tc>
          <w:tcPr>
            <w:tcW w:w="1120" w:type="dxa"/>
            <w:vAlign w:val="bottom"/>
          </w:tcPr>
          <w:p>
            <w:pPr>
              <w:jc w:val="right"/>
              <w:ind w:right="218"/>
              <w:spacing w:after="0"/>
              <w:rPr>
                <w:sz w:val="20"/>
                <w:szCs w:val="20"/>
                <w:color w:val="auto"/>
              </w:rPr>
            </w:pPr>
            <w:r>
              <w:rPr>
                <w:rFonts w:ascii="Arial" w:cs="Arial" w:eastAsia="Arial" w:hAnsi="Arial"/>
                <w:sz w:val="12"/>
                <w:szCs w:val="12"/>
                <w:color w:val="1A475F"/>
              </w:rPr>
              <w:t>108%</w:t>
            </w:r>
          </w:p>
        </w:tc>
        <w:tc>
          <w:tcPr>
            <w:tcW w:w="0" w:type="dxa"/>
            <w:vAlign w:val="bottom"/>
          </w:tcPr>
          <w:p>
            <w:pPr>
              <w:spacing w:after="0"/>
              <w:rPr>
                <w:sz w:val="1"/>
                <w:szCs w:val="1"/>
                <w:color w:val="auto"/>
              </w:rPr>
            </w:pPr>
          </w:p>
        </w:tc>
      </w:tr>
      <w:tr>
        <w:trPr>
          <w:trHeight w:val="139"/>
        </w:trPr>
        <w:tc>
          <w:tcPr>
            <w:tcW w:w="3720" w:type="dxa"/>
            <w:vAlign w:val="bottom"/>
            <w:shd w:val="clear" w:color="auto" w:fill="CCEEFF"/>
          </w:tcPr>
          <w:p>
            <w:pPr>
              <w:spacing w:after="0"/>
              <w:rPr>
                <w:sz w:val="20"/>
                <w:szCs w:val="20"/>
                <w:color w:val="auto"/>
              </w:rPr>
            </w:pPr>
            <w:r>
              <w:rPr>
                <w:rFonts w:ascii="Arial" w:cs="Arial" w:eastAsia="Arial" w:hAnsi="Arial"/>
                <w:sz w:val="12"/>
                <w:szCs w:val="12"/>
                <w:color w:val="1A475F"/>
              </w:rPr>
              <w:t>Mary Lou Burke Afonso</w:t>
            </w: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1A475F"/>
              </w:rPr>
              <w:t>100%</w:t>
            </w: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1A475F"/>
              </w:rPr>
              <w:t>100%</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1A475F"/>
                <w:w w:val="98"/>
              </w:rPr>
              <w:t>110.3%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100"/>
              <w:spacing w:after="0"/>
              <w:rPr>
                <w:sz w:val="20"/>
                <w:szCs w:val="20"/>
                <w:color w:val="auto"/>
              </w:rPr>
            </w:pPr>
            <w:r>
              <w:rPr>
                <w:rFonts w:ascii="Arial" w:cs="Arial" w:eastAsia="Arial" w:hAnsi="Arial"/>
                <w:sz w:val="12"/>
                <w:szCs w:val="12"/>
                <w:color w:val="1A475F"/>
              </w:rPr>
              <w:t>122.2%</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1A475F"/>
              </w:rPr>
              <w:t>116.0%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1A475F"/>
              </w:rPr>
              <w:t>108.0%</w:t>
            </w: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1A475F"/>
              </w:rPr>
              <w:t>108%</w:t>
            </w:r>
          </w:p>
        </w:tc>
        <w:tc>
          <w:tcPr>
            <w:tcW w:w="0" w:type="dxa"/>
            <w:vAlign w:val="bottom"/>
          </w:tcPr>
          <w:p>
            <w:pPr>
              <w:spacing w:after="0"/>
              <w:rPr>
                <w:sz w:val="1"/>
                <w:szCs w:val="1"/>
                <w:color w:val="auto"/>
              </w:rPr>
            </w:pPr>
          </w:p>
        </w:tc>
      </w:tr>
      <w:tr>
        <w:trPr>
          <w:trHeight w:val="139"/>
        </w:trPr>
        <w:tc>
          <w:tcPr>
            <w:tcW w:w="3720" w:type="dxa"/>
            <w:vAlign w:val="bottom"/>
          </w:tcPr>
          <w:p>
            <w:pPr>
              <w:spacing w:after="0"/>
              <w:rPr>
                <w:sz w:val="20"/>
                <w:szCs w:val="20"/>
                <w:color w:val="auto"/>
              </w:rPr>
            </w:pPr>
            <w:r>
              <w:rPr>
                <w:rFonts w:ascii="Arial" w:cs="Arial" w:eastAsia="Arial" w:hAnsi="Arial"/>
                <w:sz w:val="12"/>
                <w:szCs w:val="12"/>
                <w:color w:val="1A475F"/>
              </w:rPr>
              <w:t>Mandy Berman</w:t>
            </w:r>
          </w:p>
        </w:tc>
        <w:tc>
          <w:tcPr>
            <w:tcW w:w="900" w:type="dxa"/>
            <w:vAlign w:val="bottom"/>
            <w:gridSpan w:val="2"/>
          </w:tcPr>
          <w:p>
            <w:pPr>
              <w:jc w:val="right"/>
              <w:ind w:right="78"/>
              <w:spacing w:after="0"/>
              <w:rPr>
                <w:sz w:val="20"/>
                <w:szCs w:val="20"/>
                <w:color w:val="auto"/>
              </w:rPr>
            </w:pPr>
            <w:r>
              <w:rPr>
                <w:rFonts w:ascii="Arial" w:cs="Arial" w:eastAsia="Arial" w:hAnsi="Arial"/>
                <w:sz w:val="12"/>
                <w:szCs w:val="12"/>
                <w:color w:val="1A475F"/>
              </w:rPr>
              <w:t>100%</w:t>
            </w:r>
          </w:p>
        </w:tc>
        <w:tc>
          <w:tcPr>
            <w:tcW w:w="60" w:type="dxa"/>
            <w:vAlign w:val="bottom"/>
          </w:tcPr>
          <w:p>
            <w:pPr>
              <w:spacing w:after="0"/>
              <w:rPr>
                <w:sz w:val="12"/>
                <w:szCs w:val="12"/>
                <w:color w:val="auto"/>
              </w:rPr>
            </w:pPr>
          </w:p>
        </w:tc>
        <w:tc>
          <w:tcPr>
            <w:tcW w:w="980" w:type="dxa"/>
            <w:vAlign w:val="bottom"/>
          </w:tcPr>
          <w:p>
            <w:pPr>
              <w:jc w:val="right"/>
              <w:ind w:right="218"/>
              <w:spacing w:after="0"/>
              <w:rPr>
                <w:sz w:val="20"/>
                <w:szCs w:val="20"/>
                <w:color w:val="auto"/>
              </w:rPr>
            </w:pPr>
            <w:r>
              <w:rPr>
                <w:rFonts w:ascii="Arial" w:cs="Arial" w:eastAsia="Arial" w:hAnsi="Arial"/>
                <w:sz w:val="12"/>
                <w:szCs w:val="12"/>
                <w:color w:val="1A475F"/>
              </w:rPr>
              <w:t>100%</w:t>
            </w:r>
          </w:p>
        </w:tc>
        <w:tc>
          <w:tcPr>
            <w:tcW w:w="580" w:type="dxa"/>
            <w:vAlign w:val="bottom"/>
            <w:gridSpan w:val="2"/>
          </w:tcPr>
          <w:p>
            <w:pPr>
              <w:ind w:left="160"/>
              <w:spacing w:after="0"/>
              <w:rPr>
                <w:sz w:val="20"/>
                <w:szCs w:val="20"/>
                <w:color w:val="auto"/>
              </w:rPr>
            </w:pPr>
            <w:r>
              <w:rPr>
                <w:rFonts w:ascii="Arial" w:cs="Arial" w:eastAsia="Arial" w:hAnsi="Arial"/>
                <w:sz w:val="12"/>
                <w:szCs w:val="12"/>
                <w:color w:val="1A475F"/>
                <w:w w:val="98"/>
              </w:rPr>
              <w:t>110.3%</w:t>
            </w:r>
          </w:p>
        </w:tc>
        <w:tc>
          <w:tcPr>
            <w:tcW w:w="60" w:type="dxa"/>
            <w:vAlign w:val="bottom"/>
          </w:tcPr>
          <w:p>
            <w:pPr>
              <w:spacing w:after="0"/>
              <w:rPr>
                <w:sz w:val="12"/>
                <w:szCs w:val="12"/>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1A475F"/>
              </w:rPr>
              <w:t>122.2%</w:t>
            </w:r>
          </w:p>
        </w:tc>
        <w:tc>
          <w:tcPr>
            <w:tcW w:w="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1A475F"/>
              </w:rPr>
              <w:t>116.0%</w:t>
            </w:r>
          </w:p>
        </w:tc>
        <w:tc>
          <w:tcPr>
            <w:tcW w:w="620" w:type="dxa"/>
            <w:vAlign w:val="bottom"/>
            <w:gridSpan w:val="2"/>
          </w:tcPr>
          <w:p>
            <w:pPr>
              <w:jc w:val="right"/>
              <w:spacing w:after="0"/>
              <w:rPr>
                <w:sz w:val="20"/>
                <w:szCs w:val="20"/>
                <w:color w:val="auto"/>
              </w:rPr>
            </w:pPr>
            <w:r>
              <w:rPr>
                <w:rFonts w:ascii="Arial" w:cs="Arial" w:eastAsia="Arial" w:hAnsi="Arial"/>
                <w:sz w:val="12"/>
                <w:szCs w:val="12"/>
                <w:color w:val="1A475F"/>
              </w:rPr>
              <w:t>108.0%</w:t>
            </w:r>
          </w:p>
        </w:tc>
        <w:tc>
          <w:tcPr>
            <w:tcW w:w="60" w:type="dxa"/>
            <w:vAlign w:val="bottom"/>
          </w:tcPr>
          <w:p>
            <w:pPr>
              <w:spacing w:after="0"/>
              <w:rPr>
                <w:sz w:val="12"/>
                <w:szCs w:val="12"/>
                <w:color w:val="auto"/>
              </w:rPr>
            </w:pPr>
          </w:p>
        </w:tc>
        <w:tc>
          <w:tcPr>
            <w:tcW w:w="1120" w:type="dxa"/>
            <w:vAlign w:val="bottom"/>
          </w:tcPr>
          <w:p>
            <w:pPr>
              <w:jc w:val="right"/>
              <w:ind w:right="218"/>
              <w:spacing w:after="0"/>
              <w:rPr>
                <w:sz w:val="20"/>
                <w:szCs w:val="20"/>
                <w:color w:val="auto"/>
              </w:rPr>
            </w:pPr>
            <w:r>
              <w:rPr>
                <w:rFonts w:ascii="Arial" w:cs="Arial" w:eastAsia="Arial" w:hAnsi="Arial"/>
                <w:sz w:val="12"/>
                <w:szCs w:val="12"/>
                <w:color w:val="1A475F"/>
              </w:rPr>
              <w:t>108%</w:t>
            </w:r>
          </w:p>
        </w:tc>
        <w:tc>
          <w:tcPr>
            <w:tcW w:w="0" w:type="dxa"/>
            <w:vAlign w:val="bottom"/>
          </w:tcPr>
          <w:p>
            <w:pPr>
              <w:spacing w:after="0"/>
              <w:rPr>
                <w:sz w:val="1"/>
                <w:szCs w:val="1"/>
                <w:color w:val="auto"/>
              </w:rPr>
            </w:pPr>
          </w:p>
        </w:tc>
      </w:tr>
      <w:tr>
        <w:trPr>
          <w:trHeight w:val="139"/>
        </w:trPr>
        <w:tc>
          <w:tcPr>
            <w:tcW w:w="3720" w:type="dxa"/>
            <w:vAlign w:val="bottom"/>
            <w:shd w:val="clear" w:color="auto" w:fill="CCEEFF"/>
          </w:tcPr>
          <w:p>
            <w:pPr>
              <w:spacing w:after="0"/>
              <w:rPr>
                <w:sz w:val="20"/>
                <w:szCs w:val="20"/>
                <w:color w:val="auto"/>
              </w:rPr>
            </w:pPr>
            <w:r>
              <w:rPr>
                <w:rFonts w:ascii="Arial" w:cs="Arial" w:eastAsia="Arial" w:hAnsi="Arial"/>
                <w:sz w:val="12"/>
                <w:szCs w:val="12"/>
                <w:color w:val="1A475F"/>
              </w:rPr>
              <w:t>Rosamund Marshall</w:t>
            </w: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1A475F"/>
              </w:rPr>
              <w:t>75%</w:t>
            </w: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1A475F"/>
              </w:rPr>
              <w:t>100%</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1A475F"/>
                <w:w w:val="98"/>
              </w:rPr>
              <w:t>110.3%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100"/>
              <w:spacing w:after="0"/>
              <w:rPr>
                <w:sz w:val="20"/>
                <w:szCs w:val="20"/>
                <w:color w:val="auto"/>
              </w:rPr>
            </w:pPr>
            <w:r>
              <w:rPr>
                <w:rFonts w:ascii="Arial" w:cs="Arial" w:eastAsia="Arial" w:hAnsi="Arial"/>
                <w:sz w:val="12"/>
                <w:szCs w:val="12"/>
                <w:color w:val="1A475F"/>
              </w:rPr>
              <w:t>122.2%</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1A475F"/>
              </w:rPr>
              <w:t>116.0%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1A475F"/>
              </w:rPr>
              <w:t>108.0%</w:t>
            </w: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1A475F"/>
              </w:rPr>
              <w:t>81%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900" w:right="100" w:firstLine="756"/>
        <w:spacing w:after="0" w:line="256" w:lineRule="auto"/>
        <w:rPr>
          <w:sz w:val="20"/>
          <w:szCs w:val="20"/>
          <w:color w:val="auto"/>
        </w:rPr>
      </w:pPr>
      <w:r>
        <w:rPr>
          <w:rFonts w:ascii="Arial" w:cs="Arial" w:eastAsia="Arial" w:hAnsi="Arial"/>
          <w:sz w:val="15"/>
          <w:szCs w:val="15"/>
          <w:b w:val="1"/>
          <w:bCs w:val="1"/>
          <w:color w:val="1A475F"/>
        </w:rPr>
        <w:t xml:space="preserve">Equity Awards. </w:t>
      </w:r>
      <w:r>
        <w:rPr>
          <w:rFonts w:ascii="Arial" w:cs="Arial" w:eastAsia="Arial" w:hAnsi="Arial"/>
          <w:sz w:val="15"/>
          <w:szCs w:val="15"/>
          <w:color w:val="1A475F"/>
        </w:rPr>
        <w:t>The largest single component of our executive compensation program consists of annual equity-based</w:t>
      </w:r>
      <w:r>
        <w:rPr>
          <w:rFonts w:ascii="Arial" w:cs="Arial" w:eastAsia="Arial" w:hAnsi="Arial"/>
          <w:sz w:val="15"/>
          <w:szCs w:val="15"/>
          <w:b w:val="1"/>
          <w:bCs w:val="1"/>
          <w:color w:val="1A475F"/>
        </w:rPr>
        <w:t xml:space="preserve"> </w:t>
      </w:r>
      <w:r>
        <w:rPr>
          <w:rFonts w:ascii="Arial" w:cs="Arial" w:eastAsia="Arial" w:hAnsi="Arial"/>
          <w:sz w:val="15"/>
          <w:szCs w:val="15"/>
          <w:color w:val="1A475F"/>
        </w:rPr>
        <w:t>awards. Under the Company’s LTIP, our executive officers and other key employees are awarded annual long-term equity incentive awards, including stock options, RSUs, and PRSUs. Each NEOs’ LTIP award for 2025 was composed of 25% stock options, 25% PRSUs and 50% RSUs by target value. The 2025 LTIP awards were granted in February 2025.</w:t>
      </w:r>
    </w:p>
    <w:p>
      <w:pPr>
        <w:spacing w:after="0" w:line="86" w:lineRule="exact"/>
        <w:rPr>
          <w:sz w:val="20"/>
          <w:szCs w:val="20"/>
          <w:color w:val="auto"/>
        </w:rPr>
      </w:pPr>
    </w:p>
    <w:p>
      <w:pPr>
        <w:jc w:val="right"/>
        <w:ind w:right="20"/>
        <w:spacing w:after="0"/>
        <w:tabs>
          <w:tab w:leader="none" w:pos="440" w:val="left"/>
          <w:tab w:leader="none" w:pos="1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39</w:t>
      </w:r>
    </w:p>
    <w:p>
      <w:pPr>
        <w:sectPr>
          <w:pgSz w:w="11900" w:h="16838" w:orient="portrait"/>
          <w:cols w:equalWidth="0" w:num="1">
            <w:col w:w="10360"/>
          </w:cols>
          <w:pgMar w:left="320" w:top="433" w:right="12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right="120" w:firstLine="756"/>
        <w:spacing w:after="0" w:line="255" w:lineRule="auto"/>
        <w:rPr>
          <w:sz w:val="20"/>
          <w:szCs w:val="20"/>
          <w:color w:val="auto"/>
        </w:rPr>
      </w:pPr>
      <w:r>
        <w:rPr>
          <w:rFonts w:ascii="Arial" w:cs="Arial" w:eastAsia="Arial" w:hAnsi="Arial"/>
          <w:sz w:val="15"/>
          <w:szCs w:val="15"/>
          <w:color w:val="1A475F"/>
        </w:rPr>
        <w:t>The Compensation Committee believes the LTIP equity awards serve to align the interests of our executive officers with those of our shareholders, encourage retention, promote the successful execution of a longer term growth and performance strategy, and tie additional compensation to performance. We believe the following terms of our LTIP awards align the interests of our executive officers with those of our shareholders:</w:t>
      </w:r>
    </w:p>
    <w:p>
      <w:pPr>
        <w:sectPr>
          <w:pgSz w:w="11900" w:h="16838" w:orient="portrait"/>
          <w:cols w:equalWidth="0" w:num="1">
            <w:col w:w="10340"/>
          </w:cols>
          <w:pgMar w:left="320" w:top="434" w:right="1239" w:bottom="1440" w:gutter="0" w:footer="0" w:header="0"/>
        </w:sectPr>
      </w:pPr>
    </w:p>
    <w:p>
      <w:pPr>
        <w:spacing w:after="0" w:line="170" w:lineRule="exact"/>
        <w:rPr>
          <w:sz w:val="20"/>
          <w:szCs w:val="20"/>
          <w:color w:val="auto"/>
        </w:rPr>
      </w:pPr>
    </w:p>
    <w:p>
      <w:pPr>
        <w:ind w:left="1200" w:hanging="270"/>
        <w:spacing w:after="0"/>
        <w:tabs>
          <w:tab w:leader="none" w:pos="1200" w:val="left"/>
        </w:tabs>
        <w:numPr>
          <w:ilvl w:val="0"/>
          <w:numId w:val="53"/>
        </w:numPr>
        <w:rPr>
          <w:rFonts w:ascii="MS PGothic" w:cs="MS PGothic" w:eastAsia="MS PGothic" w:hAnsi="MS PGothic"/>
          <w:sz w:val="15"/>
          <w:szCs w:val="15"/>
          <w:color w:val="1A475F"/>
        </w:rPr>
      </w:pPr>
      <w:r>
        <w:rPr>
          <w:rFonts w:ascii="Arial" w:cs="Arial" w:eastAsia="Arial" w:hAnsi="Arial"/>
          <w:sz w:val="15"/>
          <w:szCs w:val="15"/>
          <w:color w:val="1A475F"/>
        </w:rPr>
        <w:t>Performance-Based RSUs</w:t>
      </w:r>
    </w:p>
    <w:p>
      <w:pPr>
        <w:spacing w:after="0" w:line="200" w:lineRule="exact"/>
        <w:rPr>
          <w:rFonts w:ascii="MS PGothic" w:cs="MS PGothic" w:eastAsia="MS PGothic" w:hAnsi="MS PGothic"/>
          <w:sz w:val="15"/>
          <w:szCs w:val="15"/>
          <w:color w:val="1A475F"/>
        </w:rPr>
      </w:pPr>
    </w:p>
    <w:p>
      <w:pPr>
        <w:spacing w:after="0" w:line="217" w:lineRule="exact"/>
        <w:rPr>
          <w:rFonts w:ascii="MS PGothic" w:cs="MS PGothic" w:eastAsia="MS PGothic" w:hAnsi="MS PGothic"/>
          <w:sz w:val="15"/>
          <w:szCs w:val="15"/>
          <w:color w:val="1A475F"/>
        </w:rPr>
      </w:pPr>
    </w:p>
    <w:p>
      <w:pPr>
        <w:ind w:left="1200" w:hanging="270"/>
        <w:spacing w:after="0"/>
        <w:tabs>
          <w:tab w:leader="none" w:pos="1200" w:val="left"/>
        </w:tabs>
        <w:numPr>
          <w:ilvl w:val="0"/>
          <w:numId w:val="53"/>
        </w:numPr>
        <w:rPr>
          <w:rFonts w:ascii="MS PGothic" w:cs="MS PGothic" w:eastAsia="MS PGothic" w:hAnsi="MS PGothic"/>
          <w:sz w:val="15"/>
          <w:szCs w:val="15"/>
          <w:color w:val="1A475F"/>
        </w:rPr>
      </w:pPr>
      <w:r>
        <w:rPr>
          <w:rFonts w:ascii="Arial" w:cs="Arial" w:eastAsia="Arial" w:hAnsi="Arial"/>
          <w:sz w:val="15"/>
          <w:szCs w:val="15"/>
          <w:color w:val="1A475F"/>
        </w:rPr>
        <w:t>3-Year Vesting for RSUs</w:t>
      </w:r>
    </w:p>
    <w:p>
      <w:pPr>
        <w:spacing w:after="0" w:line="244" w:lineRule="exact"/>
        <w:rPr>
          <w:rFonts w:ascii="MS PGothic" w:cs="MS PGothic" w:eastAsia="MS PGothic" w:hAnsi="MS PGothic"/>
          <w:sz w:val="15"/>
          <w:szCs w:val="15"/>
          <w:color w:val="1A475F"/>
        </w:rPr>
      </w:pPr>
    </w:p>
    <w:p>
      <w:pPr>
        <w:ind w:left="1200" w:right="160" w:hanging="270"/>
        <w:spacing w:after="0" w:line="282" w:lineRule="auto"/>
        <w:tabs>
          <w:tab w:leader="none" w:pos="1200" w:val="left"/>
        </w:tabs>
        <w:numPr>
          <w:ilvl w:val="0"/>
          <w:numId w:val="53"/>
        </w:numPr>
        <w:rPr>
          <w:rFonts w:ascii="MS PGothic" w:cs="MS PGothic" w:eastAsia="MS PGothic" w:hAnsi="MS PGothic"/>
          <w:sz w:val="15"/>
          <w:szCs w:val="15"/>
          <w:color w:val="1A475F"/>
        </w:rPr>
      </w:pPr>
      <w:r>
        <w:rPr>
          <w:rFonts w:ascii="Arial" w:cs="Arial" w:eastAsia="Arial" w:hAnsi="Arial"/>
          <w:sz w:val="15"/>
          <w:szCs w:val="15"/>
          <w:color w:val="1A475F"/>
        </w:rPr>
        <w:t>3-Year Vesting for Stock Options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97" w:right="60" w:hanging="197"/>
        <w:spacing w:after="0" w:line="261" w:lineRule="auto"/>
        <w:tabs>
          <w:tab w:leader="none" w:pos="197" w:val="left"/>
        </w:tabs>
        <w:numPr>
          <w:ilvl w:val="0"/>
          <w:numId w:val="54"/>
        </w:numPr>
        <w:rPr>
          <w:rFonts w:ascii="Arial" w:cs="Arial" w:eastAsia="Arial" w:hAnsi="Arial"/>
          <w:sz w:val="15"/>
          <w:szCs w:val="15"/>
          <w:color w:val="1A475F"/>
        </w:rPr>
      </w:pPr>
      <w:r>
        <w:rPr>
          <w:rFonts w:ascii="Arial" w:cs="Arial" w:eastAsia="Arial" w:hAnsi="Arial"/>
          <w:sz w:val="15"/>
          <w:szCs w:val="15"/>
          <w:color w:val="1A475F"/>
        </w:rPr>
        <w:t>25% of the LTIP award is performance-based with a three-year cliff-vesting upon the achievement of the three-year average of annual Adjusted EBITDA growth goals, with such shares being subject to forfeiture in the event the recipient leaves the Company before the vesting date.</w:t>
      </w:r>
    </w:p>
    <w:p>
      <w:pPr>
        <w:spacing w:after="0" w:line="27" w:lineRule="exact"/>
        <w:rPr>
          <w:rFonts w:ascii="Arial" w:cs="Arial" w:eastAsia="Arial" w:hAnsi="Arial"/>
          <w:sz w:val="15"/>
          <w:szCs w:val="15"/>
          <w:color w:val="1A475F"/>
        </w:rPr>
      </w:pPr>
    </w:p>
    <w:p>
      <w:pPr>
        <w:ind w:left="197" w:right="500" w:hanging="197"/>
        <w:spacing w:after="0" w:line="282" w:lineRule="auto"/>
        <w:tabs>
          <w:tab w:leader="none" w:pos="197" w:val="left"/>
        </w:tabs>
        <w:numPr>
          <w:ilvl w:val="0"/>
          <w:numId w:val="54"/>
        </w:numPr>
        <w:rPr>
          <w:rFonts w:ascii="Arial" w:cs="Arial" w:eastAsia="Arial" w:hAnsi="Arial"/>
          <w:sz w:val="15"/>
          <w:szCs w:val="15"/>
          <w:color w:val="1A475F"/>
        </w:rPr>
      </w:pPr>
      <w:r>
        <w:rPr>
          <w:rFonts w:ascii="Arial" w:cs="Arial" w:eastAsia="Arial" w:hAnsi="Arial"/>
          <w:sz w:val="15"/>
          <w:szCs w:val="15"/>
          <w:color w:val="1A475F"/>
        </w:rPr>
        <w:t>50% of the LTIP award is RSUs with three-year cliff-vesting, with such shares being subject to forfeiture in the event the recipient leaves the Company before the vesting date.</w:t>
      </w:r>
    </w:p>
    <w:p>
      <w:pPr>
        <w:spacing w:after="0" w:line="11" w:lineRule="exact"/>
        <w:rPr>
          <w:rFonts w:ascii="Arial" w:cs="Arial" w:eastAsia="Arial" w:hAnsi="Arial"/>
          <w:sz w:val="15"/>
          <w:szCs w:val="15"/>
          <w:color w:val="1A475F"/>
        </w:rPr>
      </w:pPr>
    </w:p>
    <w:p>
      <w:pPr>
        <w:ind w:left="197" w:right="20" w:hanging="197"/>
        <w:spacing w:after="0" w:line="261" w:lineRule="auto"/>
        <w:tabs>
          <w:tab w:leader="none" w:pos="197" w:val="left"/>
        </w:tabs>
        <w:numPr>
          <w:ilvl w:val="0"/>
          <w:numId w:val="54"/>
        </w:numPr>
        <w:rPr>
          <w:rFonts w:ascii="Arial" w:cs="Arial" w:eastAsia="Arial" w:hAnsi="Arial"/>
          <w:sz w:val="15"/>
          <w:szCs w:val="15"/>
          <w:color w:val="1A475F"/>
        </w:rPr>
      </w:pPr>
      <w:r>
        <w:rPr>
          <w:rFonts w:ascii="Arial" w:cs="Arial" w:eastAsia="Arial" w:hAnsi="Arial"/>
          <w:sz w:val="15"/>
          <w:szCs w:val="15"/>
          <w:color w:val="1A475F"/>
        </w:rPr>
        <w:t>25% of the LTIP award is stock options vesting in three equal installments on the first, second and third anniversary of grant date, with such unvested options being subject to forfeiture in the event the recipient leaves the Company before the applicable vesting date.</w:t>
      </w:r>
    </w:p>
    <w:p>
      <w:pPr>
        <w:spacing w:after="0" w:line="16" w:lineRule="exact"/>
        <w:rPr>
          <w:rFonts w:ascii="Arial" w:cs="Arial" w:eastAsia="Arial" w:hAnsi="Arial"/>
          <w:sz w:val="15"/>
          <w:szCs w:val="15"/>
          <w:color w:val="1A475F"/>
        </w:rPr>
      </w:pPr>
    </w:p>
    <w:p>
      <w:pPr>
        <w:ind w:left="197" w:right="380" w:hanging="197"/>
        <w:spacing w:after="0" w:line="261" w:lineRule="auto"/>
        <w:tabs>
          <w:tab w:leader="none" w:pos="197" w:val="left"/>
        </w:tabs>
        <w:numPr>
          <w:ilvl w:val="0"/>
          <w:numId w:val="54"/>
        </w:numPr>
        <w:rPr>
          <w:rFonts w:ascii="Arial" w:cs="Arial" w:eastAsia="Arial" w:hAnsi="Arial"/>
          <w:sz w:val="15"/>
          <w:szCs w:val="15"/>
          <w:color w:val="1A475F"/>
        </w:rPr>
      </w:pPr>
      <w:r>
        <w:rPr>
          <w:rFonts w:ascii="Arial" w:cs="Arial" w:eastAsia="Arial" w:hAnsi="Arial"/>
          <w:sz w:val="15"/>
          <w:szCs w:val="15"/>
          <w:color w:val="1A475F"/>
        </w:rPr>
        <w:t>We consider stock options to be performance-based because no value is created unless (1) the value of our common stock appreciates after grant and (2) the same value is created for our shareholders.</w:t>
      </w:r>
    </w:p>
    <w:p>
      <w:pPr>
        <w:spacing w:after="0" w:line="143" w:lineRule="exact"/>
        <w:rPr>
          <w:sz w:val="20"/>
          <w:szCs w:val="20"/>
          <w:color w:val="auto"/>
        </w:rPr>
      </w:pPr>
    </w:p>
    <w:p>
      <w:pPr>
        <w:sectPr>
          <w:pgSz w:w="11900" w:h="16838" w:orient="portrait"/>
          <w:cols w:equalWidth="0" w:num="2">
            <w:col w:w="3000" w:space="263"/>
            <w:col w:w="7077"/>
          </w:cols>
          <w:pgMar w:left="320" w:top="434" w:right="1239" w:bottom="1440" w:gutter="0" w:footer="0" w:header="0"/>
          <w:type w:val="continuous"/>
        </w:sectPr>
      </w:pPr>
    </w:p>
    <w:p>
      <w:pPr>
        <w:ind w:left="900" w:right="20" w:firstLine="756"/>
        <w:spacing w:after="0" w:line="282" w:lineRule="auto"/>
        <w:rPr>
          <w:sz w:val="20"/>
          <w:szCs w:val="20"/>
          <w:color w:val="auto"/>
        </w:rPr>
      </w:pPr>
      <w:r>
        <w:rPr>
          <w:rFonts w:ascii="Arial" w:cs="Arial" w:eastAsia="Arial" w:hAnsi="Arial"/>
          <w:sz w:val="15"/>
          <w:szCs w:val="15"/>
          <w:color w:val="1A475F"/>
        </w:rPr>
        <w:t>Starting in 2026, the Company will grant LTIP awards composed of 50% PRSUs and 50% RSUs by target value to increase the percentage of long-term equity incentive awards tied to performance-based metrics.</w:t>
      </w:r>
    </w:p>
    <w:p>
      <w:pPr>
        <w:spacing w:after="0" w:line="127" w:lineRule="exact"/>
        <w:rPr>
          <w:sz w:val="20"/>
          <w:szCs w:val="20"/>
          <w:color w:val="auto"/>
        </w:rPr>
      </w:pPr>
    </w:p>
    <w:p>
      <w:pPr>
        <w:ind w:left="900" w:firstLine="756"/>
        <w:spacing w:after="0" w:line="249" w:lineRule="auto"/>
        <w:rPr>
          <w:sz w:val="20"/>
          <w:szCs w:val="20"/>
          <w:color w:val="auto"/>
        </w:rPr>
      </w:pPr>
      <w:r>
        <w:rPr>
          <w:rFonts w:ascii="Arial" w:cs="Arial" w:eastAsia="Arial" w:hAnsi="Arial"/>
          <w:sz w:val="15"/>
          <w:szCs w:val="15"/>
          <w:i w:val="1"/>
          <w:iCs w:val="1"/>
          <w:color w:val="1A475F"/>
        </w:rPr>
        <w:t xml:space="preserve">Vesting of Awards. </w:t>
      </w:r>
      <w:r>
        <w:rPr>
          <w:rFonts w:ascii="Arial" w:cs="Arial" w:eastAsia="Arial" w:hAnsi="Arial"/>
          <w:sz w:val="15"/>
          <w:szCs w:val="15"/>
          <w:color w:val="1A475F"/>
        </w:rPr>
        <w:t>Under the LTIP, RSUs vest in full on the third anniversary of the grant date (subject to continued service with</w:t>
      </w:r>
      <w:r>
        <w:rPr>
          <w:rFonts w:ascii="Arial" w:cs="Arial" w:eastAsia="Arial" w:hAnsi="Arial"/>
          <w:sz w:val="15"/>
          <w:szCs w:val="15"/>
          <w:i w:val="1"/>
          <w:iCs w:val="1"/>
          <w:color w:val="1A475F"/>
        </w:rPr>
        <w:t xml:space="preserve"> </w:t>
      </w:r>
      <w:r>
        <w:rPr>
          <w:rFonts w:ascii="Arial" w:cs="Arial" w:eastAsia="Arial" w:hAnsi="Arial"/>
          <w:sz w:val="15"/>
          <w:szCs w:val="15"/>
          <w:color w:val="1A475F"/>
        </w:rPr>
        <w:t>the Company through the vesting date). Stock options vest over three years in three equal installments on the first, second and third anniversaries of the grant date (subject to continued service with the Company through each applicable vesting date). PRSUs vest on the third anniversary of the grant date based on the three-year average of the achievement of annual Adjusted EBITDA growth goals (subject to continued service with the Company through the vesting date). The Compensation Committee applies three-year vesting periods to all LTIP awards to encourage retention and long-term focus on the Company’s overall performance.</w:t>
      </w:r>
    </w:p>
    <w:p>
      <w:pPr>
        <w:spacing w:after="0" w:line="153"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The performance objectives and the level of achievement for the 2025 PRSUs were set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139700</wp:posOffset>
            </wp:positionV>
            <wp:extent cx="6003290" cy="563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03290" cy="563880"/>
                    </a:xfrm>
                    <a:prstGeom prst="rect">
                      <a:avLst/>
                    </a:prstGeom>
                    <a:noFill/>
                  </pic:spPr>
                </pic:pic>
              </a:graphicData>
            </a:graphic>
          </wp:anchor>
        </w:drawing>
      </w:r>
    </w:p>
    <w:p>
      <w:pPr>
        <w:spacing w:after="0" w:line="231"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3480" w:type="dxa"/>
            <w:vAlign w:val="bottom"/>
            <w:gridSpan w:val="2"/>
          </w:tcPr>
          <w:p>
            <w:pPr>
              <w:spacing w:after="0"/>
              <w:rPr>
                <w:sz w:val="20"/>
                <w:szCs w:val="20"/>
                <w:color w:val="auto"/>
              </w:rPr>
            </w:pPr>
            <w:r>
              <w:rPr>
                <w:rFonts w:ascii="Arial" w:cs="Arial" w:eastAsia="Arial" w:hAnsi="Arial"/>
                <w:sz w:val="12"/>
                <w:szCs w:val="12"/>
                <w:b w:val="1"/>
                <w:bCs w:val="1"/>
                <w:color w:val="1A475F"/>
              </w:rPr>
              <w:t>Performance Measure</w:t>
            </w:r>
          </w:p>
        </w:tc>
        <w:tc>
          <w:tcPr>
            <w:tcW w:w="1220" w:type="dxa"/>
            <w:vAlign w:val="bottom"/>
          </w:tcPr>
          <w:p>
            <w:pPr>
              <w:spacing w:after="0"/>
              <w:rPr>
                <w:sz w:val="12"/>
                <w:szCs w:val="12"/>
                <w:color w:val="auto"/>
              </w:rPr>
            </w:pPr>
          </w:p>
        </w:tc>
        <w:tc>
          <w:tcPr>
            <w:tcW w:w="3500" w:type="dxa"/>
            <w:vAlign w:val="bottom"/>
            <w:gridSpan w:val="5"/>
          </w:tcPr>
          <w:p>
            <w:pPr>
              <w:jc w:val="right"/>
              <w:ind w:right="680"/>
              <w:spacing w:after="0"/>
              <w:rPr>
                <w:sz w:val="20"/>
                <w:szCs w:val="20"/>
                <w:color w:val="auto"/>
              </w:rPr>
            </w:pPr>
            <w:r>
              <w:rPr>
                <w:rFonts w:ascii="Arial" w:cs="Arial" w:eastAsia="Arial" w:hAnsi="Arial"/>
                <w:sz w:val="12"/>
                <w:szCs w:val="12"/>
                <w:b w:val="1"/>
                <w:bCs w:val="1"/>
                <w:color w:val="1A475F"/>
              </w:rPr>
              <w:t>% of PRSUs Vesting upon Achievement</w:t>
            </w:r>
          </w:p>
        </w:tc>
        <w:tc>
          <w:tcPr>
            <w:tcW w:w="1020" w:type="dxa"/>
            <w:vAlign w:val="bottom"/>
          </w:tcPr>
          <w:p>
            <w:pPr>
              <w:spacing w:after="0"/>
              <w:rPr>
                <w:sz w:val="12"/>
                <w:szCs w:val="12"/>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2"/>
        </w:trPr>
        <w:tc>
          <w:tcPr>
            <w:tcW w:w="3480" w:type="dxa"/>
            <w:vAlign w:val="bottom"/>
            <w:gridSpan w:val="2"/>
          </w:tcPr>
          <w:p>
            <w:pPr>
              <w:spacing w:after="0" w:line="122" w:lineRule="exact"/>
              <w:rPr>
                <w:sz w:val="20"/>
                <w:szCs w:val="20"/>
                <w:color w:val="auto"/>
              </w:rPr>
            </w:pPr>
            <w:r>
              <w:rPr>
                <w:rFonts w:ascii="Arial" w:cs="Arial" w:eastAsia="Arial" w:hAnsi="Arial"/>
                <w:sz w:val="12"/>
                <w:szCs w:val="12"/>
                <w:b w:val="1"/>
                <w:bCs w:val="1"/>
                <w:color w:val="1A475F"/>
              </w:rPr>
              <w:t>Annual Adjusted EBITDA Growth</w:t>
            </w: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1A475F"/>
              </w:rPr>
              <w:t>Less than Threshold</w:t>
            </w:r>
          </w:p>
        </w:tc>
        <w:tc>
          <w:tcPr>
            <w:tcW w:w="600" w:type="dxa"/>
            <w:vAlign w:val="bottom"/>
          </w:tcPr>
          <w:p>
            <w:pPr>
              <w:spacing w:after="0"/>
              <w:rPr>
                <w:sz w:val="10"/>
                <w:szCs w:val="10"/>
                <w:color w:val="auto"/>
              </w:rPr>
            </w:pPr>
          </w:p>
        </w:tc>
        <w:tc>
          <w:tcPr>
            <w:tcW w:w="1640" w:type="dxa"/>
            <w:vAlign w:val="bottom"/>
            <w:gridSpan w:val="2"/>
          </w:tcPr>
          <w:p>
            <w:pPr>
              <w:jc w:val="center"/>
              <w:ind w:right="600"/>
              <w:spacing w:after="0" w:line="122" w:lineRule="exact"/>
              <w:rPr>
                <w:sz w:val="20"/>
                <w:szCs w:val="20"/>
                <w:color w:val="auto"/>
              </w:rPr>
            </w:pPr>
            <w:r>
              <w:rPr>
                <w:rFonts w:ascii="Arial" w:cs="Arial" w:eastAsia="Arial" w:hAnsi="Arial"/>
                <w:sz w:val="12"/>
                <w:szCs w:val="12"/>
                <w:b w:val="1"/>
                <w:bCs w:val="1"/>
                <w:color w:val="1A475F"/>
              </w:rPr>
              <w:t>Threshold Payout</w:t>
            </w:r>
          </w:p>
        </w:tc>
        <w:tc>
          <w:tcPr>
            <w:tcW w:w="126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1A475F"/>
              </w:rPr>
              <w:t>Target Payout</w:t>
            </w:r>
          </w:p>
        </w:tc>
        <w:tc>
          <w:tcPr>
            <w:tcW w:w="1020" w:type="dxa"/>
            <w:vAlign w:val="bottom"/>
          </w:tcPr>
          <w:p>
            <w:pPr>
              <w:jc w:val="center"/>
              <w:spacing w:after="0" w:line="122" w:lineRule="exact"/>
              <w:rPr>
                <w:sz w:val="20"/>
                <w:szCs w:val="20"/>
                <w:color w:val="auto"/>
              </w:rPr>
            </w:pPr>
            <w:r>
              <w:rPr>
                <w:rFonts w:ascii="Arial" w:cs="Arial" w:eastAsia="Arial" w:hAnsi="Arial"/>
                <w:sz w:val="12"/>
                <w:szCs w:val="12"/>
                <w:b w:val="1"/>
                <w:bCs w:val="1"/>
                <w:color w:val="1A475F"/>
              </w:rPr>
              <w:t>Maximum Payout</w:t>
            </w:r>
          </w:p>
        </w:tc>
      </w:tr>
      <w:tr>
        <w:trPr>
          <w:trHeight w:val="130"/>
        </w:trPr>
        <w:tc>
          <w:tcPr>
            <w:tcW w:w="1280" w:type="dxa"/>
            <w:vAlign w:val="bottom"/>
            <w:tcBorders>
              <w:top w:val="single" w:sz="8" w:color="CCEEFF"/>
            </w:tcBorders>
            <w:shd w:val="clear" w:color="auto" w:fill="CCEEFF"/>
          </w:tcPr>
          <w:p>
            <w:pPr>
              <w:spacing w:after="0"/>
              <w:rPr>
                <w:sz w:val="11"/>
                <w:szCs w:val="11"/>
                <w:color w:val="auto"/>
              </w:rPr>
            </w:pPr>
          </w:p>
        </w:tc>
        <w:tc>
          <w:tcPr>
            <w:tcW w:w="22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ind w:right="458"/>
              <w:spacing w:after="0" w:line="130" w:lineRule="exact"/>
              <w:rPr>
                <w:sz w:val="20"/>
                <w:szCs w:val="20"/>
                <w:color w:val="auto"/>
              </w:rPr>
            </w:pPr>
            <w:r>
              <w:rPr>
                <w:rFonts w:ascii="Arial" w:cs="Arial" w:eastAsia="Arial" w:hAnsi="Arial"/>
                <w:sz w:val="12"/>
                <w:szCs w:val="12"/>
                <w:color w:val="1A475F"/>
              </w:rPr>
              <w:t>0%</w:t>
            </w:r>
          </w:p>
        </w:tc>
        <w:tc>
          <w:tcPr>
            <w:tcW w:w="6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338"/>
              <w:spacing w:after="0" w:line="130" w:lineRule="exact"/>
              <w:rPr>
                <w:sz w:val="20"/>
                <w:szCs w:val="20"/>
                <w:color w:val="auto"/>
              </w:rPr>
            </w:pPr>
            <w:r>
              <w:rPr>
                <w:rFonts w:ascii="Arial" w:cs="Arial" w:eastAsia="Arial" w:hAnsi="Arial"/>
                <w:sz w:val="12"/>
                <w:szCs w:val="12"/>
                <w:color w:val="1A475F"/>
              </w:rPr>
              <w:t>50%</w:t>
            </w:r>
          </w:p>
        </w:tc>
        <w:tc>
          <w:tcPr>
            <w:tcW w:w="6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178"/>
              <w:spacing w:after="0" w:line="130" w:lineRule="exact"/>
              <w:rPr>
                <w:sz w:val="20"/>
                <w:szCs w:val="20"/>
                <w:color w:val="auto"/>
              </w:rPr>
            </w:pPr>
            <w:r>
              <w:rPr>
                <w:rFonts w:ascii="Arial" w:cs="Arial" w:eastAsia="Arial" w:hAnsi="Arial"/>
                <w:sz w:val="12"/>
                <w:szCs w:val="12"/>
                <w:color w:val="1A475F"/>
              </w:rPr>
              <w:t>100%</w:t>
            </w:r>
          </w:p>
        </w:tc>
        <w:tc>
          <w:tcPr>
            <w:tcW w:w="4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298"/>
              <w:spacing w:after="0" w:line="130" w:lineRule="exact"/>
              <w:rPr>
                <w:sz w:val="20"/>
                <w:szCs w:val="20"/>
                <w:color w:val="auto"/>
              </w:rPr>
            </w:pPr>
            <w:r>
              <w:rPr>
                <w:rFonts w:ascii="Arial" w:cs="Arial" w:eastAsia="Arial" w:hAnsi="Arial"/>
                <w:sz w:val="12"/>
                <w:szCs w:val="12"/>
                <w:color w:val="1A475F"/>
              </w:rPr>
              <w:t>200%</w:t>
            </w:r>
          </w:p>
        </w:tc>
      </w:tr>
    </w:tbl>
    <w:p>
      <w:pPr>
        <w:spacing w:after="0" w:line="38" w:lineRule="exact"/>
        <w:rPr>
          <w:sz w:val="20"/>
          <w:szCs w:val="20"/>
          <w:color w:val="auto"/>
        </w:rPr>
      </w:pPr>
    </w:p>
    <w:p>
      <w:pPr>
        <w:ind w:left="1020" w:right="260"/>
        <w:spacing w:after="0" w:line="282" w:lineRule="auto"/>
        <w:rPr>
          <w:sz w:val="20"/>
          <w:szCs w:val="20"/>
          <w:color w:val="auto"/>
        </w:rPr>
      </w:pPr>
      <w:r>
        <w:rPr>
          <w:rFonts w:ascii="Arial" w:cs="Arial" w:eastAsia="Arial" w:hAnsi="Arial"/>
          <w:sz w:val="12"/>
          <w:szCs w:val="12"/>
          <w:color w:val="1A475F"/>
        </w:rPr>
        <w:t>Annual Adjusted EBITDA growth is measured annually over the three-year performance period with vesting determined at the end of the performance period based on the average of the annual growth achievement for the performance period.</w:t>
      </w:r>
    </w:p>
    <w:p>
      <w:pPr>
        <w:spacing w:after="0" w:line="201" w:lineRule="exact"/>
        <w:rPr>
          <w:sz w:val="20"/>
          <w:szCs w:val="20"/>
          <w:color w:val="auto"/>
        </w:rPr>
      </w:pPr>
    </w:p>
    <w:p>
      <w:pPr>
        <w:ind w:left="900" w:right="140" w:firstLine="756"/>
        <w:spacing w:after="0" w:line="261" w:lineRule="auto"/>
        <w:rPr>
          <w:sz w:val="20"/>
          <w:szCs w:val="20"/>
          <w:color w:val="auto"/>
        </w:rPr>
      </w:pPr>
      <w:r>
        <w:rPr>
          <w:rFonts w:ascii="Arial" w:cs="Arial" w:eastAsia="Arial" w:hAnsi="Arial"/>
          <w:sz w:val="15"/>
          <w:szCs w:val="15"/>
          <w:i w:val="1"/>
          <w:iCs w:val="1"/>
          <w:color w:val="1A475F"/>
        </w:rPr>
        <w:t>Target Incentive Compensation Value</w:t>
      </w:r>
      <w:r>
        <w:rPr>
          <w:rFonts w:ascii="Arial" w:cs="Arial" w:eastAsia="Arial" w:hAnsi="Arial"/>
          <w:sz w:val="15"/>
          <w:szCs w:val="15"/>
          <w:color w:val="1A475F"/>
        </w:rPr>
        <w:t>. In the first quarter of 2025, the Compensation Committee granted equity awards under</w:t>
      </w:r>
      <w:r>
        <w:rPr>
          <w:rFonts w:ascii="Arial" w:cs="Arial" w:eastAsia="Arial" w:hAnsi="Arial"/>
          <w:sz w:val="15"/>
          <w:szCs w:val="15"/>
          <w:i w:val="1"/>
          <w:iCs w:val="1"/>
          <w:color w:val="1A475F"/>
        </w:rPr>
        <w:t xml:space="preserve"> </w:t>
      </w:r>
      <w:r>
        <w:rPr>
          <w:rFonts w:ascii="Arial" w:cs="Arial" w:eastAsia="Arial" w:hAnsi="Arial"/>
          <w:sz w:val="15"/>
          <w:szCs w:val="15"/>
          <w:color w:val="1A475F"/>
        </w:rPr>
        <w:t>the LTIP with aggregate target incentive compensation values equal to a fixed dollar value as set forth below. The Compensation Committee determined to maintain the same LTIP target values for 2025 as 2024.</w:t>
      </w:r>
    </w:p>
    <w:p>
      <w:pPr>
        <w:spacing w:after="0" w:line="169"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2120" w:type="dxa"/>
            <w:vAlign w:val="bottom"/>
          </w:tcPr>
          <w:p>
            <w:pPr>
              <w:spacing w:after="0"/>
              <w:rPr>
                <w:sz w:val="20"/>
                <w:szCs w:val="20"/>
                <w:color w:val="auto"/>
              </w:rPr>
            </w:pPr>
            <w:r>
              <w:rPr>
                <w:rFonts w:ascii="Arial" w:cs="Arial" w:eastAsia="Arial" w:hAnsi="Arial"/>
                <w:sz w:val="14"/>
                <w:szCs w:val="14"/>
                <w:b w:val="1"/>
                <w:bCs w:val="1"/>
                <w:color w:val="1A475F"/>
              </w:rPr>
              <w:t>Named Executive Officer</w:t>
            </w:r>
          </w:p>
        </w:tc>
        <w:tc>
          <w:tcPr>
            <w:tcW w:w="3280" w:type="dxa"/>
            <w:vAlign w:val="bottom"/>
            <w:gridSpan w:val="2"/>
          </w:tcPr>
          <w:p>
            <w:pPr>
              <w:ind w:left="940"/>
              <w:spacing w:after="0"/>
              <w:rPr>
                <w:sz w:val="20"/>
                <w:szCs w:val="20"/>
                <w:color w:val="auto"/>
              </w:rPr>
            </w:pPr>
            <w:r>
              <w:rPr>
                <w:rFonts w:ascii="Arial" w:cs="Arial" w:eastAsia="Arial" w:hAnsi="Arial"/>
                <w:sz w:val="14"/>
                <w:szCs w:val="14"/>
                <w:b w:val="1"/>
                <w:bCs w:val="1"/>
                <w:color w:val="1A475F"/>
                <w:w w:val="97"/>
              </w:rPr>
              <w:t>2025 Target Value of Equity Awards</w:t>
            </w:r>
          </w:p>
        </w:tc>
        <w:tc>
          <w:tcPr>
            <w:tcW w:w="3300" w:type="dxa"/>
            <w:vAlign w:val="bottom"/>
            <w:gridSpan w:val="2"/>
          </w:tcPr>
          <w:p>
            <w:pPr>
              <w:ind w:left="960"/>
              <w:spacing w:after="0"/>
              <w:rPr>
                <w:sz w:val="20"/>
                <w:szCs w:val="20"/>
                <w:color w:val="auto"/>
              </w:rPr>
            </w:pPr>
            <w:r>
              <w:rPr>
                <w:rFonts w:ascii="Arial" w:cs="Arial" w:eastAsia="Arial" w:hAnsi="Arial"/>
                <w:sz w:val="14"/>
                <w:szCs w:val="14"/>
                <w:b w:val="1"/>
                <w:bCs w:val="1"/>
                <w:color w:val="1A475F"/>
                <w:w w:val="97"/>
              </w:rPr>
              <w:t>2024 Target Value of Equity Awards</w:t>
            </w:r>
          </w:p>
        </w:tc>
      </w:tr>
      <w:tr>
        <w:trPr>
          <w:trHeight w:val="165"/>
        </w:trPr>
        <w:tc>
          <w:tcPr>
            <w:tcW w:w="212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color w:val="1A475F"/>
              </w:rPr>
              <w:t>Stephen H. Kramer</w:t>
            </w:r>
          </w:p>
        </w:tc>
        <w:tc>
          <w:tcPr>
            <w:tcW w:w="94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$3,500,000</w:t>
            </w:r>
          </w:p>
        </w:tc>
        <w:tc>
          <w:tcPr>
            <w:tcW w:w="96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$3,500,000</w:t>
            </w:r>
          </w:p>
        </w:tc>
      </w:tr>
      <w:tr>
        <w:trPr>
          <w:trHeight w:val="174"/>
        </w:trPr>
        <w:tc>
          <w:tcPr>
            <w:tcW w:w="2120" w:type="dxa"/>
            <w:vAlign w:val="bottom"/>
          </w:tcPr>
          <w:p>
            <w:pPr>
              <w:spacing w:after="0"/>
              <w:rPr>
                <w:sz w:val="20"/>
                <w:szCs w:val="20"/>
                <w:color w:val="auto"/>
              </w:rPr>
            </w:pPr>
            <w:r>
              <w:rPr>
                <w:rFonts w:ascii="Arial" w:cs="Arial" w:eastAsia="Arial" w:hAnsi="Arial"/>
                <w:sz w:val="15"/>
                <w:szCs w:val="15"/>
                <w:color w:val="1A475F"/>
              </w:rPr>
              <w:t>Elizabeth J. Boland</w:t>
            </w:r>
          </w:p>
        </w:tc>
        <w:tc>
          <w:tcPr>
            <w:tcW w:w="3280" w:type="dxa"/>
            <w:vAlign w:val="bottom"/>
            <w:gridSpan w:val="2"/>
          </w:tcPr>
          <w:p>
            <w:pPr>
              <w:jc w:val="center"/>
              <w:ind w:left="864"/>
              <w:spacing w:after="0"/>
              <w:rPr>
                <w:sz w:val="20"/>
                <w:szCs w:val="20"/>
                <w:color w:val="auto"/>
              </w:rPr>
            </w:pPr>
            <w:r>
              <w:rPr>
                <w:rFonts w:ascii="Arial" w:cs="Arial" w:eastAsia="Arial" w:hAnsi="Arial"/>
                <w:sz w:val="15"/>
                <w:szCs w:val="15"/>
                <w:color w:val="1A475F"/>
              </w:rPr>
              <w:t>$1,100,000</w:t>
            </w:r>
          </w:p>
        </w:tc>
        <w:tc>
          <w:tcPr>
            <w:tcW w:w="3300" w:type="dxa"/>
            <w:vAlign w:val="bottom"/>
            <w:gridSpan w:val="2"/>
          </w:tcPr>
          <w:p>
            <w:pPr>
              <w:jc w:val="center"/>
              <w:ind w:left="844"/>
              <w:spacing w:after="0"/>
              <w:rPr>
                <w:sz w:val="20"/>
                <w:szCs w:val="20"/>
                <w:color w:val="auto"/>
              </w:rPr>
            </w:pPr>
            <w:r>
              <w:rPr>
                <w:rFonts w:ascii="Arial" w:cs="Arial" w:eastAsia="Arial" w:hAnsi="Arial"/>
                <w:sz w:val="15"/>
                <w:szCs w:val="15"/>
                <w:color w:val="1A475F"/>
              </w:rPr>
              <w:t>$1,100,000</w:t>
            </w:r>
          </w:p>
        </w:tc>
      </w:tr>
      <w:tr>
        <w:trPr>
          <w:trHeight w:val="174"/>
        </w:trPr>
        <w:tc>
          <w:tcPr>
            <w:tcW w:w="2120" w:type="dxa"/>
            <w:vAlign w:val="bottom"/>
            <w:shd w:val="clear" w:color="auto" w:fill="CCEEFF"/>
          </w:tcPr>
          <w:p>
            <w:pPr>
              <w:spacing w:after="0"/>
              <w:rPr>
                <w:sz w:val="20"/>
                <w:szCs w:val="20"/>
                <w:color w:val="auto"/>
              </w:rPr>
            </w:pPr>
            <w:r>
              <w:rPr>
                <w:rFonts w:ascii="Arial" w:cs="Arial" w:eastAsia="Arial" w:hAnsi="Arial"/>
                <w:sz w:val="15"/>
                <w:szCs w:val="15"/>
                <w:color w:val="1A475F"/>
              </w:rPr>
              <w:t>Mary Lou Burke Afonso</w:t>
            </w:r>
          </w:p>
        </w:tc>
        <w:tc>
          <w:tcPr>
            <w:tcW w:w="3280" w:type="dxa"/>
            <w:vAlign w:val="bottom"/>
            <w:gridSpan w:val="2"/>
            <w:shd w:val="clear" w:color="auto" w:fill="CCEEFF"/>
          </w:tcPr>
          <w:p>
            <w:pPr>
              <w:jc w:val="center"/>
              <w:ind w:left="864"/>
              <w:spacing w:after="0"/>
              <w:rPr>
                <w:sz w:val="20"/>
                <w:szCs w:val="20"/>
                <w:color w:val="auto"/>
              </w:rPr>
            </w:pPr>
            <w:r>
              <w:rPr>
                <w:rFonts w:ascii="Arial" w:cs="Arial" w:eastAsia="Arial" w:hAnsi="Arial"/>
                <w:sz w:val="15"/>
                <w:szCs w:val="15"/>
                <w:color w:val="1A475F"/>
              </w:rPr>
              <w:t>$1,100,000</w:t>
            </w:r>
          </w:p>
        </w:tc>
        <w:tc>
          <w:tcPr>
            <w:tcW w:w="3300" w:type="dxa"/>
            <w:vAlign w:val="bottom"/>
            <w:gridSpan w:val="2"/>
            <w:shd w:val="clear" w:color="auto" w:fill="CCEEFF"/>
          </w:tcPr>
          <w:p>
            <w:pPr>
              <w:jc w:val="center"/>
              <w:ind w:left="844"/>
              <w:spacing w:after="0"/>
              <w:rPr>
                <w:sz w:val="20"/>
                <w:szCs w:val="20"/>
                <w:color w:val="auto"/>
              </w:rPr>
            </w:pPr>
            <w:r>
              <w:rPr>
                <w:rFonts w:ascii="Arial" w:cs="Arial" w:eastAsia="Arial" w:hAnsi="Arial"/>
                <w:sz w:val="15"/>
                <w:szCs w:val="15"/>
                <w:color w:val="1A475F"/>
              </w:rPr>
              <w:t>$1,100,000</w:t>
            </w:r>
          </w:p>
        </w:tc>
      </w:tr>
      <w:tr>
        <w:trPr>
          <w:trHeight w:val="174"/>
        </w:trPr>
        <w:tc>
          <w:tcPr>
            <w:tcW w:w="2120" w:type="dxa"/>
            <w:vAlign w:val="bottom"/>
          </w:tcPr>
          <w:p>
            <w:pPr>
              <w:spacing w:after="0"/>
              <w:rPr>
                <w:sz w:val="20"/>
                <w:szCs w:val="20"/>
                <w:color w:val="auto"/>
              </w:rPr>
            </w:pPr>
            <w:r>
              <w:rPr>
                <w:rFonts w:ascii="Arial" w:cs="Arial" w:eastAsia="Arial" w:hAnsi="Arial"/>
                <w:sz w:val="15"/>
                <w:szCs w:val="15"/>
                <w:color w:val="1A475F"/>
              </w:rPr>
              <w:t>Mandy Berman</w:t>
            </w:r>
          </w:p>
        </w:tc>
        <w:tc>
          <w:tcPr>
            <w:tcW w:w="3280" w:type="dxa"/>
            <w:vAlign w:val="bottom"/>
            <w:gridSpan w:val="2"/>
          </w:tcPr>
          <w:p>
            <w:pPr>
              <w:jc w:val="center"/>
              <w:ind w:left="864"/>
              <w:spacing w:after="0"/>
              <w:rPr>
                <w:sz w:val="20"/>
                <w:szCs w:val="20"/>
                <w:color w:val="auto"/>
              </w:rPr>
            </w:pPr>
            <w:r>
              <w:rPr>
                <w:rFonts w:ascii="Arial" w:cs="Arial" w:eastAsia="Arial" w:hAnsi="Arial"/>
                <w:sz w:val="15"/>
                <w:szCs w:val="15"/>
                <w:color w:val="1A475F"/>
              </w:rPr>
              <w:t>$1,100,000</w:t>
            </w:r>
          </w:p>
        </w:tc>
        <w:tc>
          <w:tcPr>
            <w:tcW w:w="3300" w:type="dxa"/>
            <w:vAlign w:val="bottom"/>
            <w:gridSpan w:val="2"/>
          </w:tcPr>
          <w:p>
            <w:pPr>
              <w:jc w:val="center"/>
              <w:ind w:left="844"/>
              <w:spacing w:after="0"/>
              <w:rPr>
                <w:sz w:val="20"/>
                <w:szCs w:val="20"/>
                <w:color w:val="auto"/>
              </w:rPr>
            </w:pPr>
            <w:r>
              <w:rPr>
                <w:rFonts w:ascii="Arial" w:cs="Arial" w:eastAsia="Arial" w:hAnsi="Arial"/>
                <w:sz w:val="15"/>
                <w:szCs w:val="15"/>
                <w:color w:val="1A475F"/>
              </w:rPr>
              <w:t>$1,100,000</w:t>
            </w:r>
          </w:p>
        </w:tc>
      </w:tr>
      <w:tr>
        <w:trPr>
          <w:trHeight w:val="174"/>
        </w:trPr>
        <w:tc>
          <w:tcPr>
            <w:tcW w:w="2120" w:type="dxa"/>
            <w:vAlign w:val="bottom"/>
            <w:shd w:val="clear" w:color="auto" w:fill="CCEEFF"/>
          </w:tcPr>
          <w:p>
            <w:pPr>
              <w:spacing w:after="0"/>
              <w:rPr>
                <w:sz w:val="20"/>
                <w:szCs w:val="20"/>
                <w:color w:val="auto"/>
              </w:rPr>
            </w:pPr>
            <w:r>
              <w:rPr>
                <w:rFonts w:ascii="Arial" w:cs="Arial" w:eastAsia="Arial" w:hAnsi="Arial"/>
                <w:sz w:val="15"/>
                <w:szCs w:val="15"/>
                <w:color w:val="1A475F"/>
              </w:rPr>
              <w:t>Rosamund Marshall</w:t>
            </w:r>
          </w:p>
        </w:tc>
        <w:tc>
          <w:tcPr>
            <w:tcW w:w="3280" w:type="dxa"/>
            <w:vAlign w:val="bottom"/>
            <w:gridSpan w:val="2"/>
            <w:shd w:val="clear" w:color="auto" w:fill="CCEEFF"/>
          </w:tcPr>
          <w:p>
            <w:pPr>
              <w:jc w:val="center"/>
              <w:ind w:left="864"/>
              <w:spacing w:after="0"/>
              <w:rPr>
                <w:sz w:val="20"/>
                <w:szCs w:val="20"/>
                <w:color w:val="auto"/>
              </w:rPr>
            </w:pPr>
            <w:r>
              <w:rPr>
                <w:rFonts w:ascii="Arial" w:cs="Arial" w:eastAsia="Arial" w:hAnsi="Arial"/>
                <w:sz w:val="15"/>
                <w:szCs w:val="15"/>
                <w:color w:val="1A475F"/>
              </w:rPr>
              <w:t>$750,000</w:t>
            </w:r>
          </w:p>
        </w:tc>
        <w:tc>
          <w:tcPr>
            <w:tcW w:w="3300" w:type="dxa"/>
            <w:vAlign w:val="bottom"/>
            <w:gridSpan w:val="2"/>
            <w:shd w:val="clear" w:color="auto" w:fill="CCEEFF"/>
          </w:tcPr>
          <w:p>
            <w:pPr>
              <w:jc w:val="center"/>
              <w:ind w:left="864"/>
              <w:spacing w:after="0"/>
              <w:rPr>
                <w:sz w:val="20"/>
                <w:szCs w:val="20"/>
                <w:color w:val="auto"/>
              </w:rPr>
            </w:pPr>
            <w:r>
              <w:rPr>
                <w:rFonts w:ascii="Arial" w:cs="Arial" w:eastAsia="Arial" w:hAnsi="Arial"/>
                <w:sz w:val="15"/>
                <w:szCs w:val="15"/>
                <w:color w:val="1A475F"/>
              </w:rPr>
              <w:t>$750,000</w:t>
            </w:r>
          </w:p>
        </w:tc>
      </w:tr>
    </w:tbl>
    <w:p>
      <w:pPr>
        <w:spacing w:after="0" w:line="78" w:lineRule="exact"/>
        <w:rPr>
          <w:sz w:val="20"/>
          <w:szCs w:val="20"/>
          <w:color w:val="auto"/>
        </w:rPr>
      </w:pPr>
    </w:p>
    <w:p>
      <w:pPr>
        <w:ind w:left="900" w:right="60" w:firstLine="756"/>
        <w:spacing w:after="0" w:line="251" w:lineRule="auto"/>
        <w:rPr>
          <w:sz w:val="20"/>
          <w:szCs w:val="20"/>
          <w:color w:val="auto"/>
        </w:rPr>
      </w:pPr>
      <w:r>
        <w:rPr>
          <w:rFonts w:ascii="Arial" w:cs="Arial" w:eastAsia="Arial" w:hAnsi="Arial"/>
          <w:sz w:val="15"/>
          <w:szCs w:val="15"/>
          <w:i w:val="1"/>
          <w:iCs w:val="1"/>
          <w:color w:val="1A475F"/>
        </w:rPr>
        <w:t xml:space="preserve">Determination of Share Amounts. </w:t>
      </w:r>
      <w:r>
        <w:rPr>
          <w:rFonts w:ascii="Arial" w:cs="Arial" w:eastAsia="Arial" w:hAnsi="Arial"/>
          <w:sz w:val="15"/>
          <w:szCs w:val="15"/>
          <w:color w:val="1A475F"/>
        </w:rPr>
        <w:t>Under the LTIP, executives are awarded a fixed target dollar value and each NEOs’ LTIP</w:t>
      </w:r>
      <w:r>
        <w:rPr>
          <w:rFonts w:ascii="Arial" w:cs="Arial" w:eastAsia="Arial" w:hAnsi="Arial"/>
          <w:sz w:val="15"/>
          <w:szCs w:val="15"/>
          <w:i w:val="1"/>
          <w:iCs w:val="1"/>
          <w:color w:val="1A475F"/>
        </w:rPr>
        <w:t xml:space="preserve"> </w:t>
      </w:r>
      <w:r>
        <w:rPr>
          <w:rFonts w:ascii="Arial" w:cs="Arial" w:eastAsia="Arial" w:hAnsi="Arial"/>
          <w:sz w:val="15"/>
          <w:szCs w:val="15"/>
          <w:color w:val="1A475F"/>
        </w:rPr>
        <w:t>award is composed of 25% stock options, 25% PRSUs and 50% RSUs by target value. The number of shares of our common stock subject to each stock option award is determined based on the target value divided by the Black-Scholes value of an option on the date of grant. The number of shares of RSUs and PRSUs is determined based on the target value divided by the fair market value of a share of common stock on the date of grant.</w:t>
      </w:r>
    </w:p>
    <w:p>
      <w:pPr>
        <w:spacing w:after="0" w:line="92"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40</w:t>
        <w:tab/>
        <w:t>|    Bright Horizons </w:t>
      </w:r>
    </w:p>
    <w:p>
      <w:pPr>
        <w:sectPr>
          <w:pgSz w:w="11900" w:h="16838" w:orient="portrait"/>
          <w:cols w:equalWidth="0" w:num="1">
            <w:col w:w="10340"/>
          </w:cols>
          <w:pgMar w:left="320" w:top="434" w:right="12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For 2025, the Compensation Committee granted the following awards under the LTIP to our NEOs:</w:t>
      </w:r>
    </w:p>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39"/>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tcPr>
          <w:p>
            <w:pPr>
              <w:jc w:val="center"/>
              <w:ind w:left="98"/>
              <w:spacing w:after="0"/>
              <w:rPr>
                <w:sz w:val="20"/>
                <w:szCs w:val="20"/>
                <w:color w:val="auto"/>
              </w:rPr>
            </w:pPr>
            <w:r>
              <w:rPr>
                <w:rFonts w:ascii="Arial" w:cs="Arial" w:eastAsia="Arial" w:hAnsi="Arial"/>
                <w:sz w:val="12"/>
                <w:szCs w:val="12"/>
                <w:b w:val="1"/>
                <w:bCs w:val="1"/>
                <w:color w:val="1A475F"/>
              </w:rPr>
              <w:t>Target # of</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tcPr>
          <w:p>
            <w:pPr>
              <w:jc w:val="center"/>
              <w:ind w:left="98"/>
              <w:spacing w:after="0"/>
              <w:rPr>
                <w:sz w:val="20"/>
                <w:szCs w:val="20"/>
                <w:color w:val="auto"/>
              </w:rPr>
            </w:pPr>
            <w:r>
              <w:rPr>
                <w:rFonts w:ascii="Arial" w:cs="Arial" w:eastAsia="Arial" w:hAnsi="Arial"/>
                <w:sz w:val="12"/>
                <w:szCs w:val="12"/>
                <w:b w:val="1"/>
                <w:bCs w:val="1"/>
                <w:color w:val="1A475F"/>
              </w:rPr>
              <w:t># of Stock</w:t>
            </w:r>
          </w:p>
        </w:tc>
        <w:tc>
          <w:tcPr>
            <w:tcW w:w="0" w:type="dxa"/>
            <w:vAlign w:val="bottom"/>
          </w:tcPr>
          <w:p>
            <w:pPr>
              <w:spacing w:after="0"/>
              <w:rPr>
                <w:sz w:val="1"/>
                <w:szCs w:val="1"/>
                <w:color w:val="auto"/>
              </w:rPr>
            </w:pPr>
          </w:p>
        </w:tc>
      </w:tr>
      <w:tr>
        <w:trPr>
          <w:trHeight w:val="139"/>
        </w:trPr>
        <w:tc>
          <w:tcPr>
            <w:tcW w:w="4340" w:type="dxa"/>
            <w:vAlign w:val="bottom"/>
            <w:vMerge w:val="restart"/>
          </w:tcPr>
          <w:p>
            <w:pPr>
              <w:spacing w:after="0"/>
              <w:rPr>
                <w:sz w:val="20"/>
                <w:szCs w:val="20"/>
                <w:color w:val="auto"/>
              </w:rPr>
            </w:pPr>
            <w:r>
              <w:rPr>
                <w:rFonts w:ascii="Arial" w:cs="Arial" w:eastAsia="Arial" w:hAnsi="Arial"/>
                <w:sz w:val="12"/>
                <w:szCs w:val="12"/>
                <w:b w:val="1"/>
                <w:bCs w:val="1"/>
                <w:color w:val="1A475F"/>
              </w:rPr>
              <w:t>Named Executive Officer</w:t>
            </w:r>
          </w:p>
        </w:tc>
        <w:tc>
          <w:tcPr>
            <w:tcW w:w="860" w:type="dxa"/>
            <w:vAlign w:val="bottom"/>
            <w:gridSpan w:val="2"/>
          </w:tcPr>
          <w:p>
            <w:pPr>
              <w:jc w:val="center"/>
              <w:ind w:left="98"/>
              <w:spacing w:after="0"/>
              <w:rPr>
                <w:sz w:val="20"/>
                <w:szCs w:val="20"/>
                <w:color w:val="auto"/>
              </w:rPr>
            </w:pPr>
            <w:r>
              <w:rPr>
                <w:rFonts w:ascii="Arial" w:cs="Arial" w:eastAsia="Arial" w:hAnsi="Arial"/>
                <w:sz w:val="12"/>
                <w:szCs w:val="12"/>
                <w:b w:val="1"/>
                <w:bCs w:val="1"/>
                <w:color w:val="1A475F"/>
              </w:rPr>
              <w:t>RSU Target</w:t>
            </w:r>
          </w:p>
        </w:tc>
        <w:tc>
          <w:tcPr>
            <w:tcW w:w="760" w:type="dxa"/>
            <w:vAlign w:val="bottom"/>
            <w:gridSpan w:val="2"/>
          </w:tcPr>
          <w:p>
            <w:pPr>
              <w:jc w:val="center"/>
              <w:ind w:left="118"/>
              <w:spacing w:after="0"/>
              <w:rPr>
                <w:sz w:val="20"/>
                <w:szCs w:val="20"/>
                <w:color w:val="auto"/>
              </w:rPr>
            </w:pPr>
            <w:r>
              <w:rPr>
                <w:rFonts w:ascii="Arial" w:cs="Arial" w:eastAsia="Arial" w:hAnsi="Arial"/>
                <w:sz w:val="12"/>
                <w:szCs w:val="12"/>
                <w:b w:val="1"/>
                <w:bCs w:val="1"/>
                <w:color w:val="1A475F"/>
              </w:rPr>
              <w:t># of RSUs</w:t>
            </w:r>
          </w:p>
        </w:tc>
        <w:tc>
          <w:tcPr>
            <w:tcW w:w="940" w:type="dxa"/>
            <w:vAlign w:val="bottom"/>
            <w:gridSpan w:val="2"/>
          </w:tcPr>
          <w:p>
            <w:pPr>
              <w:jc w:val="center"/>
              <w:ind w:left="138"/>
              <w:spacing w:after="0"/>
              <w:rPr>
                <w:sz w:val="20"/>
                <w:szCs w:val="20"/>
                <w:color w:val="auto"/>
              </w:rPr>
            </w:pPr>
            <w:r>
              <w:rPr>
                <w:rFonts w:ascii="Arial" w:cs="Arial" w:eastAsia="Arial" w:hAnsi="Arial"/>
                <w:sz w:val="12"/>
                <w:szCs w:val="12"/>
                <w:b w:val="1"/>
                <w:bCs w:val="1"/>
                <w:color w:val="1A475F"/>
              </w:rPr>
              <w:t>PRSU Target</w:t>
            </w:r>
          </w:p>
        </w:tc>
        <w:tc>
          <w:tcPr>
            <w:tcW w:w="2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1A475F"/>
                <w:w w:val="99"/>
              </w:rPr>
              <w:t>PRSUs</w:t>
            </w:r>
          </w:p>
        </w:tc>
        <w:tc>
          <w:tcPr>
            <w:tcW w:w="960" w:type="dxa"/>
            <w:vAlign w:val="bottom"/>
            <w:gridSpan w:val="2"/>
          </w:tcPr>
          <w:p>
            <w:pPr>
              <w:jc w:val="center"/>
              <w:ind w:left="98"/>
              <w:spacing w:after="0"/>
              <w:rPr>
                <w:sz w:val="20"/>
                <w:szCs w:val="20"/>
                <w:color w:val="auto"/>
              </w:rPr>
            </w:pPr>
            <w:r>
              <w:rPr>
                <w:rFonts w:ascii="Arial" w:cs="Arial" w:eastAsia="Arial" w:hAnsi="Arial"/>
                <w:sz w:val="12"/>
                <w:szCs w:val="12"/>
                <w:b w:val="1"/>
                <w:bCs w:val="1"/>
                <w:color w:val="1A475F"/>
              </w:rPr>
              <w:t>Stock Option</w:t>
            </w:r>
          </w:p>
        </w:tc>
        <w:tc>
          <w:tcPr>
            <w:tcW w:w="1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1A475F"/>
              </w:rPr>
              <w:t>Options</w:t>
            </w:r>
          </w:p>
        </w:tc>
        <w:tc>
          <w:tcPr>
            <w:tcW w:w="0" w:type="dxa"/>
            <w:vAlign w:val="bottom"/>
          </w:tcPr>
          <w:p>
            <w:pPr>
              <w:spacing w:after="0"/>
              <w:rPr>
                <w:sz w:val="1"/>
                <w:szCs w:val="1"/>
                <w:color w:val="auto"/>
              </w:rPr>
            </w:pPr>
          </w:p>
        </w:tc>
      </w:tr>
      <w:tr>
        <w:trPr>
          <w:trHeight w:val="147"/>
        </w:trPr>
        <w:tc>
          <w:tcPr>
            <w:tcW w:w="43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1A475F"/>
                <w:w w:val="99"/>
              </w:rPr>
              <w:t>Value</w:t>
            </w:r>
          </w:p>
        </w:tc>
        <w:tc>
          <w:tcPr>
            <w:tcW w:w="1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1A475F"/>
                <w:w w:val="99"/>
              </w:rPr>
              <w:t>Granted</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1A475F"/>
                <w:w w:val="99"/>
              </w:rPr>
              <w:t>Value</w:t>
            </w:r>
          </w:p>
        </w:tc>
        <w:tc>
          <w:tcPr>
            <w:tcW w:w="2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1A475F"/>
              </w:rPr>
              <w:t>Granted</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1A475F"/>
                <w:w w:val="99"/>
              </w:rPr>
              <w:t>Target Value</w:t>
            </w: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1A475F"/>
                <w:w w:val="99"/>
              </w:rPr>
              <w:t>Granted</w:t>
            </w:r>
          </w:p>
        </w:tc>
        <w:tc>
          <w:tcPr>
            <w:tcW w:w="0" w:type="dxa"/>
            <w:vAlign w:val="bottom"/>
          </w:tcPr>
          <w:p>
            <w:pPr>
              <w:spacing w:after="0"/>
              <w:rPr>
                <w:sz w:val="1"/>
                <w:szCs w:val="1"/>
                <w:color w:val="auto"/>
              </w:rPr>
            </w:pPr>
          </w:p>
        </w:tc>
      </w:tr>
      <w:tr>
        <w:trPr>
          <w:trHeight w:val="130"/>
        </w:trPr>
        <w:tc>
          <w:tcPr>
            <w:tcW w:w="4340" w:type="dxa"/>
            <w:vAlign w:val="bottom"/>
            <w:shd w:val="clear" w:color="auto" w:fill="CCEEFF"/>
          </w:tcPr>
          <w:p>
            <w:pPr>
              <w:spacing w:after="0" w:line="130" w:lineRule="exact"/>
              <w:rPr>
                <w:sz w:val="20"/>
                <w:szCs w:val="20"/>
                <w:color w:val="auto"/>
              </w:rPr>
            </w:pPr>
            <w:r>
              <w:rPr>
                <w:rFonts w:ascii="Arial" w:cs="Arial" w:eastAsia="Arial" w:hAnsi="Arial"/>
                <w:sz w:val="12"/>
                <w:szCs w:val="12"/>
                <w:color w:val="1A475F"/>
              </w:rPr>
              <w:t>Stephen H. Kramer</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2"/>
                <w:szCs w:val="12"/>
                <w:color w:val="1A475F"/>
              </w:rPr>
              <w:t>$1,750,000</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0" w:lineRule="exact"/>
              <w:rPr>
                <w:sz w:val="20"/>
                <w:szCs w:val="20"/>
                <w:color w:val="auto"/>
              </w:rPr>
            </w:pPr>
            <w:r>
              <w:rPr>
                <w:rFonts w:ascii="Arial" w:cs="Arial" w:eastAsia="Arial" w:hAnsi="Arial"/>
                <w:sz w:val="12"/>
                <w:szCs w:val="12"/>
                <w:color w:val="1A475F"/>
              </w:rPr>
              <w:t>13,440</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0" w:lineRule="exact"/>
              <w:rPr>
                <w:sz w:val="20"/>
                <w:szCs w:val="20"/>
                <w:color w:val="auto"/>
              </w:rPr>
            </w:pPr>
            <w:r>
              <w:rPr>
                <w:rFonts w:ascii="Arial" w:cs="Arial" w:eastAsia="Arial" w:hAnsi="Arial"/>
                <w:sz w:val="12"/>
                <w:szCs w:val="12"/>
                <w:color w:val="1A475F"/>
              </w:rPr>
              <w:t>$875,000</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0" w:lineRule="exact"/>
              <w:rPr>
                <w:sz w:val="20"/>
                <w:szCs w:val="20"/>
                <w:color w:val="auto"/>
              </w:rPr>
            </w:pPr>
            <w:r>
              <w:rPr>
                <w:rFonts w:ascii="Arial" w:cs="Arial" w:eastAsia="Arial" w:hAnsi="Arial"/>
                <w:sz w:val="12"/>
                <w:szCs w:val="12"/>
                <w:color w:val="1A475F"/>
              </w:rPr>
              <w:t>6,720</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0" w:lineRule="exact"/>
              <w:rPr>
                <w:sz w:val="20"/>
                <w:szCs w:val="20"/>
                <w:color w:val="auto"/>
              </w:rPr>
            </w:pPr>
            <w:r>
              <w:rPr>
                <w:rFonts w:ascii="Arial" w:cs="Arial" w:eastAsia="Arial" w:hAnsi="Arial"/>
                <w:sz w:val="12"/>
                <w:szCs w:val="12"/>
                <w:color w:val="1A475F"/>
              </w:rPr>
              <w:t>$875,000</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0" w:lineRule="exact"/>
              <w:rPr>
                <w:sz w:val="20"/>
                <w:szCs w:val="20"/>
                <w:color w:val="auto"/>
              </w:rPr>
            </w:pPr>
            <w:r>
              <w:rPr>
                <w:rFonts w:ascii="Arial" w:cs="Arial" w:eastAsia="Arial" w:hAnsi="Arial"/>
                <w:sz w:val="12"/>
                <w:szCs w:val="12"/>
                <w:color w:val="1A475F"/>
              </w:rPr>
              <w:t>14,863</w:t>
            </w:r>
          </w:p>
        </w:tc>
        <w:tc>
          <w:tcPr>
            <w:tcW w:w="0" w:type="dxa"/>
            <w:vAlign w:val="bottom"/>
          </w:tcPr>
          <w:p>
            <w:pPr>
              <w:spacing w:after="0"/>
              <w:rPr>
                <w:sz w:val="1"/>
                <w:szCs w:val="1"/>
                <w:color w:val="auto"/>
              </w:rPr>
            </w:pPr>
          </w:p>
        </w:tc>
      </w:tr>
      <w:tr>
        <w:trPr>
          <w:trHeight w:val="139"/>
        </w:trPr>
        <w:tc>
          <w:tcPr>
            <w:tcW w:w="4340" w:type="dxa"/>
            <w:vAlign w:val="bottom"/>
          </w:tcPr>
          <w:p>
            <w:pPr>
              <w:spacing w:after="0"/>
              <w:rPr>
                <w:sz w:val="20"/>
                <w:szCs w:val="20"/>
                <w:color w:val="auto"/>
              </w:rPr>
            </w:pPr>
            <w:r>
              <w:rPr>
                <w:rFonts w:ascii="Arial" w:cs="Arial" w:eastAsia="Arial" w:hAnsi="Arial"/>
                <w:sz w:val="12"/>
                <w:szCs w:val="12"/>
                <w:color w:val="1A475F"/>
              </w:rPr>
              <w:t>Elizabeth J. Boland</w:t>
            </w:r>
          </w:p>
        </w:tc>
        <w:tc>
          <w:tcPr>
            <w:tcW w:w="860" w:type="dxa"/>
            <w:vAlign w:val="bottom"/>
            <w:gridSpan w:val="2"/>
          </w:tcPr>
          <w:p>
            <w:pPr>
              <w:jc w:val="center"/>
              <w:ind w:left="98"/>
              <w:spacing w:after="0"/>
              <w:rPr>
                <w:sz w:val="20"/>
                <w:szCs w:val="20"/>
                <w:color w:val="auto"/>
              </w:rPr>
            </w:pPr>
            <w:r>
              <w:rPr>
                <w:rFonts w:ascii="Arial" w:cs="Arial" w:eastAsia="Arial" w:hAnsi="Arial"/>
                <w:sz w:val="12"/>
                <w:szCs w:val="12"/>
                <w:color w:val="1A475F"/>
                <w:w w:val="99"/>
              </w:rPr>
              <w:t>$550,000</w:t>
            </w:r>
          </w:p>
        </w:tc>
        <w:tc>
          <w:tcPr>
            <w:tcW w:w="760" w:type="dxa"/>
            <w:vAlign w:val="bottom"/>
            <w:gridSpan w:val="2"/>
          </w:tcPr>
          <w:p>
            <w:pPr>
              <w:jc w:val="center"/>
              <w:ind w:left="118"/>
              <w:spacing w:after="0"/>
              <w:rPr>
                <w:sz w:val="20"/>
                <w:szCs w:val="20"/>
                <w:color w:val="auto"/>
              </w:rPr>
            </w:pPr>
            <w:r>
              <w:rPr>
                <w:rFonts w:ascii="Arial" w:cs="Arial" w:eastAsia="Arial" w:hAnsi="Arial"/>
                <w:sz w:val="12"/>
                <w:szCs w:val="12"/>
                <w:color w:val="1A475F"/>
                <w:w w:val="99"/>
              </w:rPr>
              <w:t>4,224</w:t>
            </w:r>
          </w:p>
        </w:tc>
        <w:tc>
          <w:tcPr>
            <w:tcW w:w="940" w:type="dxa"/>
            <w:vAlign w:val="bottom"/>
            <w:gridSpan w:val="2"/>
          </w:tcPr>
          <w:p>
            <w:pPr>
              <w:jc w:val="center"/>
              <w:ind w:left="118"/>
              <w:spacing w:after="0"/>
              <w:rPr>
                <w:sz w:val="20"/>
                <w:szCs w:val="20"/>
                <w:color w:val="auto"/>
              </w:rPr>
            </w:pPr>
            <w:r>
              <w:rPr>
                <w:rFonts w:ascii="Arial" w:cs="Arial" w:eastAsia="Arial" w:hAnsi="Arial"/>
                <w:sz w:val="12"/>
                <w:szCs w:val="12"/>
                <w:color w:val="1A475F"/>
              </w:rPr>
              <w:t>$275,000</w:t>
            </w:r>
          </w:p>
        </w:tc>
        <w:tc>
          <w:tcPr>
            <w:tcW w:w="820" w:type="dxa"/>
            <w:vAlign w:val="bottom"/>
            <w:gridSpan w:val="2"/>
          </w:tcPr>
          <w:p>
            <w:pPr>
              <w:jc w:val="center"/>
              <w:ind w:left="98"/>
              <w:spacing w:after="0"/>
              <w:rPr>
                <w:sz w:val="20"/>
                <w:szCs w:val="20"/>
                <w:color w:val="auto"/>
              </w:rPr>
            </w:pPr>
            <w:r>
              <w:rPr>
                <w:rFonts w:ascii="Arial" w:cs="Arial" w:eastAsia="Arial" w:hAnsi="Arial"/>
                <w:sz w:val="12"/>
                <w:szCs w:val="12"/>
                <w:color w:val="1A475F"/>
                <w:w w:val="99"/>
              </w:rPr>
              <w:t>2,112</w:t>
            </w:r>
          </w:p>
        </w:tc>
        <w:tc>
          <w:tcPr>
            <w:tcW w:w="960" w:type="dxa"/>
            <w:vAlign w:val="bottom"/>
            <w:gridSpan w:val="2"/>
          </w:tcPr>
          <w:p>
            <w:pPr>
              <w:jc w:val="center"/>
              <w:ind w:left="98"/>
              <w:spacing w:after="0"/>
              <w:rPr>
                <w:sz w:val="20"/>
                <w:szCs w:val="20"/>
                <w:color w:val="auto"/>
              </w:rPr>
            </w:pPr>
            <w:r>
              <w:rPr>
                <w:rFonts w:ascii="Arial" w:cs="Arial" w:eastAsia="Arial" w:hAnsi="Arial"/>
                <w:sz w:val="12"/>
                <w:szCs w:val="12"/>
                <w:color w:val="1A475F"/>
              </w:rPr>
              <w:t>$275,000</w:t>
            </w:r>
          </w:p>
        </w:tc>
        <w:tc>
          <w:tcPr>
            <w:tcW w:w="780" w:type="dxa"/>
            <w:vAlign w:val="bottom"/>
            <w:gridSpan w:val="2"/>
          </w:tcPr>
          <w:p>
            <w:pPr>
              <w:jc w:val="center"/>
              <w:ind w:left="98"/>
              <w:spacing w:after="0"/>
              <w:rPr>
                <w:sz w:val="20"/>
                <w:szCs w:val="20"/>
                <w:color w:val="auto"/>
              </w:rPr>
            </w:pPr>
            <w:r>
              <w:rPr>
                <w:rFonts w:ascii="Arial" w:cs="Arial" w:eastAsia="Arial" w:hAnsi="Arial"/>
                <w:sz w:val="12"/>
                <w:szCs w:val="12"/>
                <w:color w:val="1A475F"/>
                <w:w w:val="99"/>
              </w:rPr>
              <w:t>4,671</w:t>
            </w:r>
          </w:p>
        </w:tc>
        <w:tc>
          <w:tcPr>
            <w:tcW w:w="0" w:type="dxa"/>
            <w:vAlign w:val="bottom"/>
          </w:tcPr>
          <w:p>
            <w:pPr>
              <w:spacing w:after="0"/>
              <w:rPr>
                <w:sz w:val="1"/>
                <w:szCs w:val="1"/>
                <w:color w:val="auto"/>
              </w:rPr>
            </w:pPr>
          </w:p>
        </w:tc>
      </w:tr>
      <w:tr>
        <w:trPr>
          <w:trHeight w:val="139"/>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1A475F"/>
              </w:rPr>
              <w:t>Mary Lou Burke Afonso</w:t>
            </w:r>
          </w:p>
        </w:tc>
        <w:tc>
          <w:tcPr>
            <w:tcW w:w="860" w:type="dxa"/>
            <w:vAlign w:val="bottom"/>
            <w:gridSpan w:val="2"/>
            <w:shd w:val="clear" w:color="auto" w:fill="CCEEFF"/>
          </w:tcPr>
          <w:p>
            <w:pPr>
              <w:jc w:val="center"/>
              <w:ind w:left="98"/>
              <w:spacing w:after="0"/>
              <w:rPr>
                <w:sz w:val="20"/>
                <w:szCs w:val="20"/>
                <w:color w:val="auto"/>
              </w:rPr>
            </w:pPr>
            <w:r>
              <w:rPr>
                <w:rFonts w:ascii="Arial" w:cs="Arial" w:eastAsia="Arial" w:hAnsi="Arial"/>
                <w:sz w:val="12"/>
                <w:szCs w:val="12"/>
                <w:color w:val="1A475F"/>
                <w:w w:val="99"/>
              </w:rPr>
              <w:t>$550,000</w:t>
            </w:r>
          </w:p>
        </w:tc>
        <w:tc>
          <w:tcPr>
            <w:tcW w:w="760" w:type="dxa"/>
            <w:vAlign w:val="bottom"/>
            <w:gridSpan w:val="2"/>
            <w:shd w:val="clear" w:color="auto" w:fill="CCEEFF"/>
          </w:tcPr>
          <w:p>
            <w:pPr>
              <w:jc w:val="center"/>
              <w:ind w:left="118"/>
              <w:spacing w:after="0"/>
              <w:rPr>
                <w:sz w:val="20"/>
                <w:szCs w:val="20"/>
                <w:color w:val="auto"/>
              </w:rPr>
            </w:pPr>
            <w:r>
              <w:rPr>
                <w:rFonts w:ascii="Arial" w:cs="Arial" w:eastAsia="Arial" w:hAnsi="Arial"/>
                <w:sz w:val="12"/>
                <w:szCs w:val="12"/>
                <w:color w:val="1A475F"/>
                <w:w w:val="99"/>
              </w:rPr>
              <w:t>4,224</w:t>
            </w:r>
          </w:p>
        </w:tc>
        <w:tc>
          <w:tcPr>
            <w:tcW w:w="940" w:type="dxa"/>
            <w:vAlign w:val="bottom"/>
            <w:gridSpan w:val="2"/>
            <w:shd w:val="clear" w:color="auto" w:fill="CCEEFF"/>
          </w:tcPr>
          <w:p>
            <w:pPr>
              <w:jc w:val="center"/>
              <w:ind w:left="118"/>
              <w:spacing w:after="0"/>
              <w:rPr>
                <w:sz w:val="20"/>
                <w:szCs w:val="20"/>
                <w:color w:val="auto"/>
              </w:rPr>
            </w:pPr>
            <w:r>
              <w:rPr>
                <w:rFonts w:ascii="Arial" w:cs="Arial" w:eastAsia="Arial" w:hAnsi="Arial"/>
                <w:sz w:val="12"/>
                <w:szCs w:val="12"/>
                <w:color w:val="1A475F"/>
              </w:rPr>
              <w:t>$275,000</w:t>
            </w:r>
          </w:p>
        </w:tc>
        <w:tc>
          <w:tcPr>
            <w:tcW w:w="820" w:type="dxa"/>
            <w:vAlign w:val="bottom"/>
            <w:gridSpan w:val="2"/>
            <w:shd w:val="clear" w:color="auto" w:fill="CCEEFF"/>
          </w:tcPr>
          <w:p>
            <w:pPr>
              <w:jc w:val="center"/>
              <w:ind w:left="98"/>
              <w:spacing w:after="0"/>
              <w:rPr>
                <w:sz w:val="20"/>
                <w:szCs w:val="20"/>
                <w:color w:val="auto"/>
              </w:rPr>
            </w:pPr>
            <w:r>
              <w:rPr>
                <w:rFonts w:ascii="Arial" w:cs="Arial" w:eastAsia="Arial" w:hAnsi="Arial"/>
                <w:sz w:val="12"/>
                <w:szCs w:val="12"/>
                <w:color w:val="1A475F"/>
                <w:w w:val="99"/>
              </w:rPr>
              <w:t>2,112</w:t>
            </w:r>
          </w:p>
        </w:tc>
        <w:tc>
          <w:tcPr>
            <w:tcW w:w="960" w:type="dxa"/>
            <w:vAlign w:val="bottom"/>
            <w:gridSpan w:val="2"/>
            <w:shd w:val="clear" w:color="auto" w:fill="CCEEFF"/>
          </w:tcPr>
          <w:p>
            <w:pPr>
              <w:jc w:val="center"/>
              <w:ind w:left="98"/>
              <w:spacing w:after="0"/>
              <w:rPr>
                <w:sz w:val="20"/>
                <w:szCs w:val="20"/>
                <w:color w:val="auto"/>
              </w:rPr>
            </w:pPr>
            <w:r>
              <w:rPr>
                <w:rFonts w:ascii="Arial" w:cs="Arial" w:eastAsia="Arial" w:hAnsi="Arial"/>
                <w:sz w:val="12"/>
                <w:szCs w:val="12"/>
                <w:color w:val="1A475F"/>
              </w:rPr>
              <w:t>$275,000</w:t>
            </w:r>
          </w:p>
        </w:tc>
        <w:tc>
          <w:tcPr>
            <w:tcW w:w="780" w:type="dxa"/>
            <w:vAlign w:val="bottom"/>
            <w:gridSpan w:val="2"/>
            <w:shd w:val="clear" w:color="auto" w:fill="CCEEFF"/>
          </w:tcPr>
          <w:p>
            <w:pPr>
              <w:jc w:val="center"/>
              <w:ind w:left="98"/>
              <w:spacing w:after="0"/>
              <w:rPr>
                <w:sz w:val="20"/>
                <w:szCs w:val="20"/>
                <w:color w:val="auto"/>
              </w:rPr>
            </w:pPr>
            <w:r>
              <w:rPr>
                <w:rFonts w:ascii="Arial" w:cs="Arial" w:eastAsia="Arial" w:hAnsi="Arial"/>
                <w:sz w:val="12"/>
                <w:szCs w:val="12"/>
                <w:color w:val="1A475F"/>
                <w:w w:val="99"/>
              </w:rPr>
              <w:t>4,671</w:t>
            </w:r>
          </w:p>
        </w:tc>
        <w:tc>
          <w:tcPr>
            <w:tcW w:w="0" w:type="dxa"/>
            <w:vAlign w:val="bottom"/>
          </w:tcPr>
          <w:p>
            <w:pPr>
              <w:spacing w:after="0"/>
              <w:rPr>
                <w:sz w:val="1"/>
                <w:szCs w:val="1"/>
                <w:color w:val="auto"/>
              </w:rPr>
            </w:pPr>
          </w:p>
        </w:tc>
      </w:tr>
      <w:tr>
        <w:trPr>
          <w:trHeight w:val="139"/>
        </w:trPr>
        <w:tc>
          <w:tcPr>
            <w:tcW w:w="4340" w:type="dxa"/>
            <w:vAlign w:val="bottom"/>
          </w:tcPr>
          <w:p>
            <w:pPr>
              <w:spacing w:after="0"/>
              <w:rPr>
                <w:sz w:val="20"/>
                <w:szCs w:val="20"/>
                <w:color w:val="auto"/>
              </w:rPr>
            </w:pPr>
            <w:r>
              <w:rPr>
                <w:rFonts w:ascii="Arial" w:cs="Arial" w:eastAsia="Arial" w:hAnsi="Arial"/>
                <w:sz w:val="12"/>
                <w:szCs w:val="12"/>
                <w:color w:val="1A475F"/>
              </w:rPr>
              <w:t>Mandy Berman</w:t>
            </w:r>
          </w:p>
        </w:tc>
        <w:tc>
          <w:tcPr>
            <w:tcW w:w="860" w:type="dxa"/>
            <w:vAlign w:val="bottom"/>
            <w:gridSpan w:val="2"/>
          </w:tcPr>
          <w:p>
            <w:pPr>
              <w:jc w:val="center"/>
              <w:ind w:left="98"/>
              <w:spacing w:after="0"/>
              <w:rPr>
                <w:sz w:val="20"/>
                <w:szCs w:val="20"/>
                <w:color w:val="auto"/>
              </w:rPr>
            </w:pPr>
            <w:r>
              <w:rPr>
                <w:rFonts w:ascii="Arial" w:cs="Arial" w:eastAsia="Arial" w:hAnsi="Arial"/>
                <w:sz w:val="12"/>
                <w:szCs w:val="12"/>
                <w:color w:val="1A475F"/>
                <w:w w:val="99"/>
              </w:rPr>
              <w:t>$550,000</w:t>
            </w:r>
          </w:p>
        </w:tc>
        <w:tc>
          <w:tcPr>
            <w:tcW w:w="760" w:type="dxa"/>
            <w:vAlign w:val="bottom"/>
            <w:gridSpan w:val="2"/>
          </w:tcPr>
          <w:p>
            <w:pPr>
              <w:jc w:val="center"/>
              <w:ind w:left="118"/>
              <w:spacing w:after="0"/>
              <w:rPr>
                <w:sz w:val="20"/>
                <w:szCs w:val="20"/>
                <w:color w:val="auto"/>
              </w:rPr>
            </w:pPr>
            <w:r>
              <w:rPr>
                <w:rFonts w:ascii="Arial" w:cs="Arial" w:eastAsia="Arial" w:hAnsi="Arial"/>
                <w:sz w:val="12"/>
                <w:szCs w:val="12"/>
                <w:color w:val="1A475F"/>
                <w:w w:val="99"/>
              </w:rPr>
              <w:t>4,224</w:t>
            </w:r>
          </w:p>
        </w:tc>
        <w:tc>
          <w:tcPr>
            <w:tcW w:w="940" w:type="dxa"/>
            <w:vAlign w:val="bottom"/>
            <w:gridSpan w:val="2"/>
          </w:tcPr>
          <w:p>
            <w:pPr>
              <w:jc w:val="center"/>
              <w:ind w:left="118"/>
              <w:spacing w:after="0"/>
              <w:rPr>
                <w:sz w:val="20"/>
                <w:szCs w:val="20"/>
                <w:color w:val="auto"/>
              </w:rPr>
            </w:pPr>
            <w:r>
              <w:rPr>
                <w:rFonts w:ascii="Arial" w:cs="Arial" w:eastAsia="Arial" w:hAnsi="Arial"/>
                <w:sz w:val="12"/>
                <w:szCs w:val="12"/>
                <w:color w:val="1A475F"/>
              </w:rPr>
              <w:t>$275,000</w:t>
            </w:r>
          </w:p>
        </w:tc>
        <w:tc>
          <w:tcPr>
            <w:tcW w:w="820" w:type="dxa"/>
            <w:vAlign w:val="bottom"/>
            <w:gridSpan w:val="2"/>
          </w:tcPr>
          <w:p>
            <w:pPr>
              <w:jc w:val="center"/>
              <w:ind w:left="98"/>
              <w:spacing w:after="0"/>
              <w:rPr>
                <w:sz w:val="20"/>
                <w:szCs w:val="20"/>
                <w:color w:val="auto"/>
              </w:rPr>
            </w:pPr>
            <w:r>
              <w:rPr>
                <w:rFonts w:ascii="Arial" w:cs="Arial" w:eastAsia="Arial" w:hAnsi="Arial"/>
                <w:sz w:val="12"/>
                <w:szCs w:val="12"/>
                <w:color w:val="1A475F"/>
                <w:w w:val="99"/>
              </w:rPr>
              <w:t>2,112</w:t>
            </w:r>
          </w:p>
        </w:tc>
        <w:tc>
          <w:tcPr>
            <w:tcW w:w="960" w:type="dxa"/>
            <w:vAlign w:val="bottom"/>
            <w:gridSpan w:val="2"/>
          </w:tcPr>
          <w:p>
            <w:pPr>
              <w:jc w:val="center"/>
              <w:ind w:left="98"/>
              <w:spacing w:after="0"/>
              <w:rPr>
                <w:sz w:val="20"/>
                <w:szCs w:val="20"/>
                <w:color w:val="auto"/>
              </w:rPr>
            </w:pPr>
            <w:r>
              <w:rPr>
                <w:rFonts w:ascii="Arial" w:cs="Arial" w:eastAsia="Arial" w:hAnsi="Arial"/>
                <w:sz w:val="12"/>
                <w:szCs w:val="12"/>
                <w:color w:val="1A475F"/>
              </w:rPr>
              <w:t>$275,000</w:t>
            </w:r>
          </w:p>
        </w:tc>
        <w:tc>
          <w:tcPr>
            <w:tcW w:w="780" w:type="dxa"/>
            <w:vAlign w:val="bottom"/>
            <w:gridSpan w:val="2"/>
          </w:tcPr>
          <w:p>
            <w:pPr>
              <w:jc w:val="center"/>
              <w:ind w:left="98"/>
              <w:spacing w:after="0"/>
              <w:rPr>
                <w:sz w:val="20"/>
                <w:szCs w:val="20"/>
                <w:color w:val="auto"/>
              </w:rPr>
            </w:pPr>
            <w:r>
              <w:rPr>
                <w:rFonts w:ascii="Arial" w:cs="Arial" w:eastAsia="Arial" w:hAnsi="Arial"/>
                <w:sz w:val="12"/>
                <w:szCs w:val="12"/>
                <w:color w:val="1A475F"/>
                <w:w w:val="99"/>
              </w:rPr>
              <w:t>4,671</w:t>
            </w:r>
          </w:p>
        </w:tc>
        <w:tc>
          <w:tcPr>
            <w:tcW w:w="0" w:type="dxa"/>
            <w:vAlign w:val="bottom"/>
          </w:tcPr>
          <w:p>
            <w:pPr>
              <w:spacing w:after="0"/>
              <w:rPr>
                <w:sz w:val="1"/>
                <w:szCs w:val="1"/>
                <w:color w:val="auto"/>
              </w:rPr>
            </w:pPr>
          </w:p>
        </w:tc>
      </w:tr>
      <w:tr>
        <w:trPr>
          <w:trHeight w:val="139"/>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1A475F"/>
              </w:rPr>
              <w:t>Rosamund Marshall</w:t>
            </w:r>
          </w:p>
        </w:tc>
        <w:tc>
          <w:tcPr>
            <w:tcW w:w="860" w:type="dxa"/>
            <w:vAlign w:val="bottom"/>
            <w:gridSpan w:val="2"/>
            <w:shd w:val="clear" w:color="auto" w:fill="CCEEFF"/>
          </w:tcPr>
          <w:p>
            <w:pPr>
              <w:jc w:val="center"/>
              <w:ind w:left="98"/>
              <w:spacing w:after="0"/>
              <w:rPr>
                <w:sz w:val="20"/>
                <w:szCs w:val="20"/>
                <w:color w:val="auto"/>
              </w:rPr>
            </w:pPr>
            <w:r>
              <w:rPr>
                <w:rFonts w:ascii="Arial" w:cs="Arial" w:eastAsia="Arial" w:hAnsi="Arial"/>
                <w:sz w:val="12"/>
                <w:szCs w:val="12"/>
                <w:color w:val="1A475F"/>
                <w:w w:val="99"/>
              </w:rPr>
              <w:t>$375,000</w:t>
            </w:r>
          </w:p>
        </w:tc>
        <w:tc>
          <w:tcPr>
            <w:tcW w:w="760" w:type="dxa"/>
            <w:vAlign w:val="bottom"/>
            <w:gridSpan w:val="2"/>
            <w:shd w:val="clear" w:color="auto" w:fill="CCEEFF"/>
          </w:tcPr>
          <w:p>
            <w:pPr>
              <w:jc w:val="center"/>
              <w:ind w:left="118"/>
              <w:spacing w:after="0"/>
              <w:rPr>
                <w:sz w:val="20"/>
                <w:szCs w:val="20"/>
                <w:color w:val="auto"/>
              </w:rPr>
            </w:pPr>
            <w:r>
              <w:rPr>
                <w:rFonts w:ascii="Arial" w:cs="Arial" w:eastAsia="Arial" w:hAnsi="Arial"/>
                <w:sz w:val="12"/>
                <w:szCs w:val="12"/>
                <w:color w:val="1A475F"/>
                <w:w w:val="99"/>
              </w:rPr>
              <w:t>2,880</w:t>
            </w:r>
          </w:p>
        </w:tc>
        <w:tc>
          <w:tcPr>
            <w:tcW w:w="940" w:type="dxa"/>
            <w:vAlign w:val="bottom"/>
            <w:gridSpan w:val="2"/>
            <w:shd w:val="clear" w:color="auto" w:fill="CCEEFF"/>
          </w:tcPr>
          <w:p>
            <w:pPr>
              <w:jc w:val="center"/>
              <w:ind w:left="118"/>
              <w:spacing w:after="0"/>
              <w:rPr>
                <w:sz w:val="20"/>
                <w:szCs w:val="20"/>
                <w:color w:val="auto"/>
              </w:rPr>
            </w:pPr>
            <w:r>
              <w:rPr>
                <w:rFonts w:ascii="Arial" w:cs="Arial" w:eastAsia="Arial" w:hAnsi="Arial"/>
                <w:sz w:val="12"/>
                <w:szCs w:val="12"/>
                <w:color w:val="1A475F"/>
              </w:rPr>
              <w:t>$187,500</w:t>
            </w:r>
          </w:p>
        </w:tc>
        <w:tc>
          <w:tcPr>
            <w:tcW w:w="820" w:type="dxa"/>
            <w:vAlign w:val="bottom"/>
            <w:gridSpan w:val="2"/>
            <w:shd w:val="clear" w:color="auto" w:fill="CCEEFF"/>
          </w:tcPr>
          <w:p>
            <w:pPr>
              <w:jc w:val="center"/>
              <w:ind w:left="118"/>
              <w:spacing w:after="0"/>
              <w:rPr>
                <w:sz w:val="20"/>
                <w:szCs w:val="20"/>
                <w:color w:val="auto"/>
              </w:rPr>
            </w:pPr>
            <w:r>
              <w:rPr>
                <w:rFonts w:ascii="Arial" w:cs="Arial" w:eastAsia="Arial" w:hAnsi="Arial"/>
                <w:sz w:val="12"/>
                <w:szCs w:val="12"/>
                <w:color w:val="1A475F"/>
              </w:rPr>
              <w:t>1,440</w:t>
            </w:r>
          </w:p>
        </w:tc>
        <w:tc>
          <w:tcPr>
            <w:tcW w:w="960" w:type="dxa"/>
            <w:vAlign w:val="bottom"/>
            <w:gridSpan w:val="2"/>
            <w:shd w:val="clear" w:color="auto" w:fill="CCEEFF"/>
          </w:tcPr>
          <w:p>
            <w:pPr>
              <w:jc w:val="center"/>
              <w:ind w:left="98"/>
              <w:spacing w:after="0"/>
              <w:rPr>
                <w:sz w:val="20"/>
                <w:szCs w:val="20"/>
                <w:color w:val="auto"/>
              </w:rPr>
            </w:pPr>
            <w:r>
              <w:rPr>
                <w:rFonts w:ascii="Arial" w:cs="Arial" w:eastAsia="Arial" w:hAnsi="Arial"/>
                <w:sz w:val="12"/>
                <w:szCs w:val="12"/>
                <w:color w:val="1A475F"/>
              </w:rPr>
              <w:t>$187,500</w:t>
            </w:r>
          </w:p>
        </w:tc>
        <w:tc>
          <w:tcPr>
            <w:tcW w:w="780" w:type="dxa"/>
            <w:vAlign w:val="bottom"/>
            <w:gridSpan w:val="2"/>
            <w:shd w:val="clear" w:color="auto" w:fill="CCEEFF"/>
          </w:tcPr>
          <w:p>
            <w:pPr>
              <w:jc w:val="center"/>
              <w:ind w:left="98"/>
              <w:spacing w:after="0"/>
              <w:rPr>
                <w:sz w:val="20"/>
                <w:szCs w:val="20"/>
                <w:color w:val="auto"/>
              </w:rPr>
            </w:pPr>
            <w:r>
              <w:rPr>
                <w:rFonts w:ascii="Arial" w:cs="Arial" w:eastAsia="Arial" w:hAnsi="Arial"/>
                <w:sz w:val="12"/>
                <w:szCs w:val="12"/>
                <w:color w:val="1A475F"/>
                <w:w w:val="99"/>
              </w:rPr>
              <w:t>3,185</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900" w:right="80" w:firstLine="756"/>
        <w:spacing w:after="0" w:line="282" w:lineRule="auto"/>
        <w:rPr>
          <w:sz w:val="20"/>
          <w:szCs w:val="20"/>
          <w:color w:val="auto"/>
        </w:rPr>
      </w:pPr>
      <w:r>
        <w:rPr>
          <w:rFonts w:ascii="Arial" w:cs="Arial" w:eastAsia="Arial" w:hAnsi="Arial"/>
          <w:sz w:val="15"/>
          <w:szCs w:val="15"/>
          <w:color w:val="1A475F"/>
        </w:rPr>
        <w:t>The grant date value of equity awards granted to our NEOs in 2025 is included in the “Grants of Plan-Based Awards” table and accompanying footnotes below.</w:t>
      </w:r>
    </w:p>
    <w:p>
      <w:pPr>
        <w:spacing w:after="0" w:line="33" w:lineRule="exact"/>
        <w:rPr>
          <w:sz w:val="20"/>
          <w:szCs w:val="20"/>
          <w:color w:val="auto"/>
        </w:rPr>
      </w:pPr>
    </w:p>
    <w:p>
      <w:pPr>
        <w:ind w:left="900" w:right="40" w:firstLine="756"/>
        <w:spacing w:after="0" w:line="263" w:lineRule="auto"/>
        <w:rPr>
          <w:sz w:val="20"/>
          <w:szCs w:val="20"/>
          <w:color w:val="auto"/>
        </w:rPr>
      </w:pPr>
      <w:r>
        <w:rPr>
          <w:rFonts w:ascii="Arial" w:cs="Arial" w:eastAsia="Arial" w:hAnsi="Arial"/>
          <w:sz w:val="15"/>
          <w:szCs w:val="15"/>
          <w:b w:val="1"/>
          <w:bCs w:val="1"/>
          <w:color w:val="1A475F"/>
        </w:rPr>
        <w:t xml:space="preserve">Benefits and Perquisites. </w:t>
      </w:r>
      <w:r>
        <w:rPr>
          <w:rFonts w:ascii="Arial" w:cs="Arial" w:eastAsia="Arial" w:hAnsi="Arial"/>
          <w:sz w:val="15"/>
          <w:szCs w:val="15"/>
          <w:color w:val="1A475F"/>
        </w:rPr>
        <w:t>We provide modest benefits and perquisites to our NEOs. Most of these benefits, such as matching</w:t>
      </w:r>
      <w:r>
        <w:rPr>
          <w:rFonts w:ascii="Arial" w:cs="Arial" w:eastAsia="Arial" w:hAnsi="Arial"/>
          <w:sz w:val="15"/>
          <w:szCs w:val="15"/>
          <w:b w:val="1"/>
          <w:bCs w:val="1"/>
          <w:color w:val="1A475F"/>
        </w:rPr>
        <w:t xml:space="preserve"> </w:t>
      </w:r>
      <w:r>
        <w:rPr>
          <w:rFonts w:ascii="Arial" w:cs="Arial" w:eastAsia="Arial" w:hAnsi="Arial"/>
          <w:sz w:val="15"/>
          <w:szCs w:val="15"/>
          <w:color w:val="1A475F"/>
        </w:rPr>
        <w:t>contributions under our nonqualified deferred compensation plan (“NQDC Plan”) and the Bright Horizons 401(k) Plan (“401(k) Plan”) and basic health and wellness benefit coverage, are available to all eligible employees.</w:t>
      </w:r>
    </w:p>
    <w:p>
      <w:pPr>
        <w:spacing w:after="0" w:line="141" w:lineRule="exact"/>
        <w:rPr>
          <w:sz w:val="20"/>
          <w:szCs w:val="20"/>
          <w:color w:val="auto"/>
        </w:rPr>
      </w:pPr>
    </w:p>
    <w:p>
      <w:pPr>
        <w:ind w:left="900" w:right="40" w:firstLine="756"/>
        <w:spacing w:after="0" w:line="249" w:lineRule="auto"/>
        <w:rPr>
          <w:sz w:val="20"/>
          <w:szCs w:val="20"/>
          <w:color w:val="auto"/>
        </w:rPr>
      </w:pPr>
      <w:r>
        <w:rPr>
          <w:rFonts w:ascii="Arial" w:cs="Arial" w:eastAsia="Arial" w:hAnsi="Arial"/>
          <w:sz w:val="15"/>
          <w:szCs w:val="15"/>
          <w:i w:val="1"/>
          <w:iCs w:val="1"/>
          <w:color w:val="1A475F"/>
        </w:rPr>
        <w:t>401(k) Plan Match</w:t>
      </w:r>
      <w:r>
        <w:rPr>
          <w:rFonts w:ascii="Arial" w:cs="Arial" w:eastAsia="Arial" w:hAnsi="Arial"/>
          <w:sz w:val="15"/>
          <w:szCs w:val="15"/>
          <w:color w:val="1A475F"/>
        </w:rPr>
        <w:t>. Under our 401(k) Plan, U.S. employees’ elective deferrals are immediately vested and non-forfeitable. Each</w:t>
      </w:r>
      <w:r>
        <w:rPr>
          <w:rFonts w:ascii="Arial" w:cs="Arial" w:eastAsia="Arial" w:hAnsi="Arial"/>
          <w:sz w:val="15"/>
          <w:szCs w:val="15"/>
          <w:i w:val="1"/>
          <w:iCs w:val="1"/>
          <w:color w:val="1A475F"/>
        </w:rPr>
        <w:t xml:space="preserve"> </w:t>
      </w:r>
      <w:r>
        <w:rPr>
          <w:rFonts w:ascii="Arial" w:cs="Arial" w:eastAsia="Arial" w:hAnsi="Arial"/>
          <w:sz w:val="15"/>
          <w:szCs w:val="15"/>
          <w:color w:val="1A475F"/>
        </w:rPr>
        <w:t>plan year, we may, but are not required to, make discretionary matching contributions and other employer contributions on behalf of eligible employees. For 2025, we matched 25% of each participant’s contributions on the initial 8% of the participant’s compensation, provided that the participant had at least sixty (60) days of service. Employer matching contributions and other employer contributions begin to vest 25% per year of service and fully vest after four years of service. For our executive officers who participate in our 401(k) Plan and have more than four years of service, all matching contributions are fully vested at the date of match.</w:t>
      </w:r>
    </w:p>
    <w:p>
      <w:pPr>
        <w:spacing w:after="0" w:line="153" w:lineRule="exact"/>
        <w:rPr>
          <w:sz w:val="20"/>
          <w:szCs w:val="20"/>
          <w:color w:val="auto"/>
        </w:rPr>
      </w:pPr>
    </w:p>
    <w:p>
      <w:pPr>
        <w:ind w:left="900" w:right="40" w:firstLine="756"/>
        <w:spacing w:after="0" w:line="249" w:lineRule="auto"/>
        <w:rPr>
          <w:sz w:val="20"/>
          <w:szCs w:val="20"/>
          <w:color w:val="auto"/>
        </w:rPr>
      </w:pPr>
      <w:r>
        <w:rPr>
          <w:rFonts w:ascii="Arial" w:cs="Arial" w:eastAsia="Arial" w:hAnsi="Arial"/>
          <w:sz w:val="15"/>
          <w:szCs w:val="15"/>
          <w:i w:val="1"/>
          <w:iCs w:val="1"/>
          <w:color w:val="1A475F"/>
        </w:rPr>
        <w:t xml:space="preserve">Nonqualified Deferred Compensation Plan Match. </w:t>
      </w:r>
      <w:r>
        <w:rPr>
          <w:rFonts w:ascii="Arial" w:cs="Arial" w:eastAsia="Arial" w:hAnsi="Arial"/>
          <w:sz w:val="15"/>
          <w:szCs w:val="15"/>
          <w:color w:val="1A475F"/>
        </w:rPr>
        <w:t>In 2025, matching contributions under our NQDC Plan were provided to</w:t>
      </w:r>
      <w:r>
        <w:rPr>
          <w:rFonts w:ascii="Arial" w:cs="Arial" w:eastAsia="Arial" w:hAnsi="Arial"/>
          <w:sz w:val="15"/>
          <w:szCs w:val="15"/>
          <w:i w:val="1"/>
          <w:iCs w:val="1"/>
          <w:color w:val="1A475F"/>
        </w:rPr>
        <w:t xml:space="preserve"> </w:t>
      </w:r>
      <w:r>
        <w:rPr>
          <w:rFonts w:ascii="Arial" w:cs="Arial" w:eastAsia="Arial" w:hAnsi="Arial"/>
          <w:sz w:val="15"/>
          <w:szCs w:val="15"/>
          <w:color w:val="1A475F"/>
        </w:rPr>
        <w:t>Mr. Kramer and Mses. Berman and Burke Afonso in connection with their election to participate in this plan. Our NQDC Plan for our U.S. executive officers and other highly compensated employees allows participants to defer up to 50% of salary and up to 100% of paid bonus compensation, and to receive earnings on deferred amounts. We provide for discretionary matching contributions under this plan, which for 2025 was 25% of a participant’s elective deferral, up to $2,500 per year. Participants are fully vested in their elective deferrals, and Company matching contributions vest on the same schedule as under the 401(k) Plan, as described above.</w:t>
      </w:r>
    </w:p>
    <w:p>
      <w:pPr>
        <w:spacing w:after="0" w:line="153" w:lineRule="exact"/>
        <w:rPr>
          <w:sz w:val="20"/>
          <w:szCs w:val="20"/>
          <w:color w:val="auto"/>
        </w:rPr>
      </w:pPr>
    </w:p>
    <w:p>
      <w:pPr>
        <w:ind w:left="900" w:right="60" w:firstLine="756"/>
        <w:spacing w:after="0" w:line="251" w:lineRule="auto"/>
        <w:rPr>
          <w:sz w:val="20"/>
          <w:szCs w:val="20"/>
          <w:color w:val="auto"/>
        </w:rPr>
      </w:pPr>
      <w:r>
        <w:rPr>
          <w:rFonts w:ascii="Arial" w:cs="Arial" w:eastAsia="Arial" w:hAnsi="Arial"/>
          <w:sz w:val="15"/>
          <w:szCs w:val="15"/>
          <w:i w:val="1"/>
          <w:iCs w:val="1"/>
          <w:color w:val="1A475F"/>
        </w:rPr>
        <w:t xml:space="preserve">U.K. Based Benefits. </w:t>
      </w:r>
      <w:r>
        <w:rPr>
          <w:rFonts w:ascii="Arial" w:cs="Arial" w:eastAsia="Arial" w:hAnsi="Arial"/>
          <w:sz w:val="15"/>
          <w:szCs w:val="15"/>
          <w:color w:val="1A475F"/>
        </w:rPr>
        <w:t>In 2025, we provided modest supplemental benefits and programs to Ms. Marshall, which are available to</w:t>
      </w:r>
      <w:r>
        <w:rPr>
          <w:rFonts w:ascii="Arial" w:cs="Arial" w:eastAsia="Arial" w:hAnsi="Arial"/>
          <w:sz w:val="15"/>
          <w:szCs w:val="15"/>
          <w:i w:val="1"/>
          <w:iCs w:val="1"/>
          <w:color w:val="1A475F"/>
        </w:rPr>
        <w:t xml:space="preserve"> </w:t>
      </w:r>
      <w:r>
        <w:rPr>
          <w:rFonts w:ascii="Arial" w:cs="Arial" w:eastAsia="Arial" w:hAnsi="Arial"/>
          <w:sz w:val="15"/>
          <w:szCs w:val="15"/>
          <w:color w:val="1A475F"/>
        </w:rPr>
        <w:t>executive level managers in the U.K., by virtue of her residence and employment in the U.K. The compensation associated with these supplemental benefits reflect a car allowance, private medical insurance, permanent health insurance (disability) and a cash payment in lieu of group pension contributions as a result of reaching the life-time allowance under the program, and are included in the “Summary Compensation Table.”</w:t>
      </w:r>
    </w:p>
    <w:p>
      <w:pPr>
        <w:spacing w:after="0" w:line="57" w:lineRule="exact"/>
        <w:rPr>
          <w:sz w:val="20"/>
          <w:szCs w:val="20"/>
          <w:color w:val="auto"/>
        </w:rPr>
      </w:pPr>
    </w:p>
    <w:p>
      <w:pPr>
        <w:ind w:left="900" w:right="140" w:firstLine="756"/>
        <w:spacing w:after="0" w:line="249" w:lineRule="auto"/>
        <w:rPr>
          <w:sz w:val="20"/>
          <w:szCs w:val="20"/>
          <w:color w:val="auto"/>
        </w:rPr>
      </w:pPr>
      <w:r>
        <w:rPr>
          <w:rFonts w:ascii="Arial" w:cs="Arial" w:eastAsia="Arial" w:hAnsi="Arial"/>
          <w:sz w:val="15"/>
          <w:szCs w:val="15"/>
          <w:b w:val="1"/>
          <w:bCs w:val="1"/>
          <w:color w:val="1A475F"/>
        </w:rPr>
        <w:t xml:space="preserve">Change of Control / Severance Agreements. </w:t>
      </w:r>
      <w:r>
        <w:rPr>
          <w:rFonts w:ascii="Arial" w:cs="Arial" w:eastAsia="Arial" w:hAnsi="Arial"/>
          <w:sz w:val="15"/>
          <w:szCs w:val="15"/>
          <w:color w:val="1A475F"/>
        </w:rPr>
        <w:t>All our NEOs have severance agreements or similar arrangements with the</w:t>
      </w:r>
      <w:r>
        <w:rPr>
          <w:rFonts w:ascii="Arial" w:cs="Arial" w:eastAsia="Arial" w:hAnsi="Arial"/>
          <w:sz w:val="15"/>
          <w:szCs w:val="15"/>
          <w:b w:val="1"/>
          <w:bCs w:val="1"/>
          <w:color w:val="1A475F"/>
        </w:rPr>
        <w:t xml:space="preserve"> </w:t>
      </w:r>
      <w:r>
        <w:rPr>
          <w:rFonts w:ascii="Arial" w:cs="Arial" w:eastAsia="Arial" w:hAnsi="Arial"/>
          <w:sz w:val="15"/>
          <w:szCs w:val="15"/>
          <w:color w:val="1A475F"/>
        </w:rPr>
        <w:t>Company, which include severance, change of control, and restrictive covenant provisions. We believe that change of control arrangements provide our executives with security that will likely reduce any reluctance they may have to pursue a change of control transaction that could be in the best interests of our shareholders. We also believe that reasonable severance and change of control benefits are necessary to attract and retain high-quality executive officers. For more information on the severance arrangements with our NEOs, please see the description in “Potential Payments Upon Termination or Change of Control” found elsewhere in this Proxy Statement.</w:t>
      </w:r>
    </w:p>
    <w:p>
      <w:pPr>
        <w:spacing w:after="0" w:line="236"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Other Compensation Policies and Practices</w:t>
      </w:r>
    </w:p>
    <w:p>
      <w:pPr>
        <w:spacing w:after="0" w:line="92" w:lineRule="exact"/>
        <w:rPr>
          <w:sz w:val="20"/>
          <w:szCs w:val="20"/>
          <w:color w:val="auto"/>
        </w:rPr>
      </w:pPr>
    </w:p>
    <w:p>
      <w:pPr>
        <w:ind w:left="900" w:right="120" w:firstLine="756"/>
        <w:spacing w:after="0" w:line="244" w:lineRule="auto"/>
        <w:rPr>
          <w:sz w:val="20"/>
          <w:szCs w:val="20"/>
          <w:color w:val="auto"/>
        </w:rPr>
      </w:pPr>
      <w:r>
        <w:rPr>
          <w:rFonts w:ascii="Arial" w:cs="Arial" w:eastAsia="Arial" w:hAnsi="Arial"/>
          <w:sz w:val="15"/>
          <w:szCs w:val="15"/>
          <w:b w:val="1"/>
          <w:bCs w:val="1"/>
          <w:color w:val="1A475F"/>
        </w:rPr>
        <w:t xml:space="preserve">Policy and Procedures Related to the Grant of Certain Equity Awards Close in Time to the Release of Material Nonpublic Information. </w:t>
      </w:r>
      <w:r>
        <w:rPr>
          <w:rFonts w:ascii="Arial" w:cs="Arial" w:eastAsia="Arial" w:hAnsi="Arial"/>
          <w:sz w:val="15"/>
          <w:szCs w:val="15"/>
          <w:color w:val="1A475F"/>
        </w:rPr>
        <w:t>Bright Horizons grants annual long-term incentive awards, including stock options, RSUs and PRSUs, to certain</w:t>
      </w:r>
      <w:r>
        <w:rPr>
          <w:rFonts w:ascii="Arial" w:cs="Arial" w:eastAsia="Arial" w:hAnsi="Arial"/>
          <w:sz w:val="15"/>
          <w:szCs w:val="15"/>
          <w:b w:val="1"/>
          <w:bCs w:val="1"/>
          <w:color w:val="1A475F"/>
        </w:rPr>
        <w:t xml:space="preserve"> </w:t>
      </w:r>
      <w:r>
        <w:rPr>
          <w:rFonts w:ascii="Arial" w:cs="Arial" w:eastAsia="Arial" w:hAnsi="Arial"/>
          <w:sz w:val="15"/>
          <w:szCs w:val="15"/>
          <w:color w:val="1A475F"/>
        </w:rPr>
        <w:t>key employees, including our NEOs. Bright Horizons grants RSUs to certain other employees throughout the year, although we retain the discretion to grant other types of awards to these employees. We grant equity awards in the ordinary course of business in connection with our annual compensation program, hiring new employees, and in recognition of the retention or promotion of employees from time to time. For long-term incentive awards (which includes stock options) to certain key employees, including our NEOs, those awards are granted no sooner than two business days after the filing of our Annual Report on Form 10-K or Quarterly Report on 10-Q, as applicable. For equity awards granted to certain other employees, we target granting those awards at the end of first week of the second month after quarter ends and no sooner than two days after our earnings release for</w:t>
      </w:r>
    </w:p>
    <w:p>
      <w:pPr>
        <w:ind w:left="900" w:right="80"/>
        <w:spacing w:after="0" w:line="252" w:lineRule="auto"/>
        <w:rPr>
          <w:sz w:val="20"/>
          <w:szCs w:val="20"/>
          <w:color w:val="auto"/>
        </w:rPr>
      </w:pPr>
      <w:r>
        <w:rPr>
          <w:rFonts w:ascii="Arial" w:cs="Arial" w:eastAsia="Arial" w:hAnsi="Arial"/>
          <w:sz w:val="15"/>
          <w:szCs w:val="15"/>
          <w:color w:val="1A475F"/>
        </w:rPr>
        <w:t>awards granted in Q2, Q3, and Q4. For awards granted in Q1, we target granting awards approximately one week after we release our earnings. We retain the right to grant non-routine, off-cycle equity awards when there is a compelling business reason such as a new hire, promotions or identified incentive need.</w:t>
      </w:r>
    </w:p>
    <w:p>
      <w:pPr>
        <w:spacing w:after="0" w:line="89"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5"/>
          <w:szCs w:val="15"/>
          <w:b w:val="1"/>
          <w:bCs w:val="1"/>
          <w:color w:val="1A475F"/>
        </w:rPr>
        <w:t>    2026 Proxy Statement  |</w:t>
      </w:r>
      <w:r>
        <w:rPr>
          <w:sz w:val="20"/>
          <w:szCs w:val="20"/>
          <w:color w:val="auto"/>
        </w:rPr>
        <w:tab/>
      </w:r>
      <w:r>
        <w:rPr>
          <w:rFonts w:ascii="Arial" w:cs="Arial" w:eastAsia="Arial" w:hAnsi="Arial"/>
          <w:sz w:val="14"/>
          <w:szCs w:val="14"/>
          <w:b w:val="1"/>
          <w:bCs w:val="1"/>
          <w:color w:val="1A475F"/>
        </w:rPr>
        <w:t>41</w:t>
      </w:r>
    </w:p>
    <w:p>
      <w:pPr>
        <w:sectPr>
          <w:pgSz w:w="11900" w:h="16838" w:orient="portrait"/>
          <w:cols w:equalWidth="0" w:num="1">
            <w:col w:w="10360"/>
          </w:cols>
          <w:pgMar w:left="320" w:top="433" w:right="12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firstLine="756"/>
        <w:spacing w:after="0" w:line="248" w:lineRule="auto"/>
        <w:rPr>
          <w:sz w:val="20"/>
          <w:szCs w:val="20"/>
          <w:color w:val="auto"/>
        </w:rPr>
      </w:pPr>
      <w:r>
        <w:rPr>
          <w:rFonts w:ascii="Arial" w:cs="Arial" w:eastAsia="Arial" w:hAnsi="Arial"/>
          <w:sz w:val="15"/>
          <w:szCs w:val="15"/>
          <w:color w:val="1A475F"/>
        </w:rPr>
        <w:t>We do not backdate or retroactively grant equity awards. Given that we have a fixed practice regarding the timing of awards and a predetermined schedule, when granting equity awards, we do not consider material non-public information in determining the timing and terms of equity awards and do not time our equity awards to take advantage of the release of earnings or other major announcements by us or market conditions. In addition, the disclosure of material non-public information is not timed to affect the value of equity awards. During the period covered by this report, we have not granted stock options (or option-like instruments) to our NEOs within four business days preceding, or one business day after, the filing of any report on Forms 10-K, 10-Q, or 8-K that disclosed material nonpublic information and that would trigger tabular disclosure under Item 402(x)(2) of Regulation S-K.</w:t>
      </w:r>
    </w:p>
    <w:p>
      <w:pPr>
        <w:spacing w:after="0" w:line="58" w:lineRule="exact"/>
        <w:rPr>
          <w:sz w:val="20"/>
          <w:szCs w:val="20"/>
          <w:color w:val="auto"/>
        </w:rPr>
      </w:pPr>
    </w:p>
    <w:p>
      <w:pPr>
        <w:ind w:left="900" w:right="20" w:firstLine="756"/>
        <w:spacing w:after="0" w:line="247" w:lineRule="auto"/>
        <w:rPr>
          <w:sz w:val="20"/>
          <w:szCs w:val="20"/>
          <w:color w:val="auto"/>
        </w:rPr>
      </w:pPr>
      <w:r>
        <w:rPr>
          <w:rFonts w:ascii="Arial" w:cs="Arial" w:eastAsia="Arial" w:hAnsi="Arial"/>
          <w:sz w:val="15"/>
          <w:szCs w:val="15"/>
          <w:b w:val="1"/>
          <w:bCs w:val="1"/>
          <w:color w:val="1A475F"/>
        </w:rPr>
        <w:t xml:space="preserve">Clawback Policy. </w:t>
      </w:r>
      <w:r>
        <w:rPr>
          <w:rFonts w:ascii="Arial" w:cs="Arial" w:eastAsia="Arial" w:hAnsi="Arial"/>
          <w:sz w:val="15"/>
          <w:szCs w:val="15"/>
          <w:color w:val="1A475F"/>
        </w:rPr>
        <w:t>The Board has adopted the Bright Horizons Family Solutions Inc. Compensation Clawback Policy, as</w:t>
      </w:r>
      <w:r>
        <w:rPr>
          <w:rFonts w:ascii="Arial" w:cs="Arial" w:eastAsia="Arial" w:hAnsi="Arial"/>
          <w:sz w:val="15"/>
          <w:szCs w:val="15"/>
          <w:b w:val="1"/>
          <w:bCs w:val="1"/>
          <w:color w:val="1A475F"/>
        </w:rPr>
        <w:t xml:space="preserve"> </w:t>
      </w:r>
      <w:r>
        <w:rPr>
          <w:rFonts w:ascii="Arial" w:cs="Arial" w:eastAsia="Arial" w:hAnsi="Arial"/>
          <w:sz w:val="15"/>
          <w:szCs w:val="15"/>
          <w:color w:val="1A475F"/>
        </w:rPr>
        <w:t>amended and restated, that adheres to the listing standards of the NYSE and the rules of the SEC with respect to the mandatory recovery of executive incentive-based compensation. In the event the Company is required to make an accounting restatement, the policy provides for the mandatory recovery of erroneously awarded incentive-based compensation received by current or former executive officers during the coverage period to the extent that compensation was based on the attainment of a financial reporting measure. Under the policy, the Compensation Committee will require recoupment if it determines that incentive-based compensation received by an executive exceeds the amount of incentive-based compensation that otherwise would have been received had it been calculated based on the restated amounts. A copy of our Compensation Clawback Policy is filed with the SEC as an exhibit to our most recent Annual Report.</w:t>
      </w:r>
    </w:p>
    <w:p>
      <w:pPr>
        <w:spacing w:after="0" w:line="62" w:lineRule="exact"/>
        <w:rPr>
          <w:sz w:val="20"/>
          <w:szCs w:val="20"/>
          <w:color w:val="auto"/>
        </w:rPr>
      </w:pPr>
    </w:p>
    <w:p>
      <w:pPr>
        <w:ind w:left="900" w:right="120" w:firstLine="756"/>
        <w:spacing w:after="0" w:line="252" w:lineRule="auto"/>
        <w:rPr>
          <w:sz w:val="20"/>
          <w:szCs w:val="20"/>
          <w:color w:val="auto"/>
        </w:rPr>
      </w:pPr>
      <w:r>
        <w:rPr>
          <w:rFonts w:ascii="Arial" w:cs="Arial" w:eastAsia="Arial" w:hAnsi="Arial"/>
          <w:sz w:val="15"/>
          <w:szCs w:val="15"/>
          <w:b w:val="1"/>
          <w:bCs w:val="1"/>
          <w:color w:val="1A475F"/>
        </w:rPr>
        <w:t xml:space="preserve">Insider Trading Policy and Procedures. </w:t>
      </w:r>
      <w:r>
        <w:rPr>
          <w:rFonts w:ascii="Arial" w:cs="Arial" w:eastAsia="Arial" w:hAnsi="Arial"/>
          <w:sz w:val="15"/>
          <w:szCs w:val="15"/>
          <w:color w:val="1A475F"/>
        </w:rPr>
        <w:t>We have adopted an Amended and Restated Insider Trading Policy regarding</w:t>
      </w:r>
      <w:r>
        <w:rPr>
          <w:rFonts w:ascii="Arial" w:cs="Arial" w:eastAsia="Arial" w:hAnsi="Arial"/>
          <w:sz w:val="15"/>
          <w:szCs w:val="15"/>
          <w:b w:val="1"/>
          <w:bCs w:val="1"/>
          <w:color w:val="1A475F"/>
        </w:rPr>
        <w:t xml:space="preserve"> </w:t>
      </w:r>
      <w:r>
        <w:rPr>
          <w:rFonts w:ascii="Arial" w:cs="Arial" w:eastAsia="Arial" w:hAnsi="Arial"/>
          <w:sz w:val="15"/>
          <w:szCs w:val="15"/>
          <w:color w:val="1A475F"/>
        </w:rPr>
        <w:t>securities transactions (the “Insider Trading Policy”) that applies to the directors, officers, employees, consultants, and contractors of the Company and its subsidiaries. We believe that the Insider Trading Policy is reasonably designed to promote compliance with insider trading laws, rules and regulations with respect to the purchase, sale and/or other dispositions of our securities, as well as the applicable NYSE Rules. A copy of our Insider Trading Policy is filed with the SEC as an exhibit to our most recent Annual Report.</w:t>
      </w:r>
    </w:p>
    <w:p>
      <w:pPr>
        <w:spacing w:after="0" w:line="55" w:lineRule="exact"/>
        <w:rPr>
          <w:sz w:val="20"/>
          <w:szCs w:val="20"/>
          <w:color w:val="auto"/>
        </w:rPr>
      </w:pPr>
    </w:p>
    <w:p>
      <w:pPr>
        <w:ind w:left="900" w:right="200" w:firstLine="756"/>
        <w:spacing w:after="0" w:line="252" w:lineRule="auto"/>
        <w:rPr>
          <w:sz w:val="20"/>
          <w:szCs w:val="20"/>
          <w:color w:val="auto"/>
        </w:rPr>
      </w:pPr>
      <w:r>
        <w:rPr>
          <w:rFonts w:ascii="Arial" w:cs="Arial" w:eastAsia="Arial" w:hAnsi="Arial"/>
          <w:sz w:val="15"/>
          <w:szCs w:val="15"/>
          <w:b w:val="1"/>
          <w:bCs w:val="1"/>
          <w:color w:val="1A475F"/>
        </w:rPr>
        <w:t xml:space="preserve">Anti-Hedging Policy and Anti-Pledging. </w:t>
      </w:r>
      <w:r>
        <w:rPr>
          <w:rFonts w:ascii="Arial" w:cs="Arial" w:eastAsia="Arial" w:hAnsi="Arial"/>
          <w:sz w:val="15"/>
          <w:szCs w:val="15"/>
          <w:color w:val="1A475F"/>
        </w:rPr>
        <w:t>The Company’s Insider Trading Policy prohibits directors, officers, employees,</w:t>
      </w:r>
      <w:r>
        <w:rPr>
          <w:rFonts w:ascii="Arial" w:cs="Arial" w:eastAsia="Arial" w:hAnsi="Arial"/>
          <w:sz w:val="15"/>
          <w:szCs w:val="15"/>
          <w:b w:val="1"/>
          <w:bCs w:val="1"/>
          <w:color w:val="1A475F"/>
        </w:rPr>
        <w:t xml:space="preserve"> </w:t>
      </w:r>
      <w:r>
        <w:rPr>
          <w:rFonts w:ascii="Arial" w:cs="Arial" w:eastAsia="Arial" w:hAnsi="Arial"/>
          <w:sz w:val="15"/>
          <w:szCs w:val="15"/>
          <w:color w:val="1A475F"/>
        </w:rPr>
        <w:t>consultants, and contractors of the Company and its subsidiaries from purchasing securities or other financial instruments, or otherwise engaging in transactions, that hedge or offset, or are designed to hedge or offset, any decrease in the market value of Company securities. Similarly, directors, officers and employees (including family members and controlled entities) are prohibited from holding Company securities in a margin account or pledging Company securities as collateral for a loan.</w:t>
      </w:r>
    </w:p>
    <w:p>
      <w:pPr>
        <w:spacing w:after="0" w:line="55" w:lineRule="exact"/>
        <w:rPr>
          <w:sz w:val="20"/>
          <w:szCs w:val="20"/>
          <w:color w:val="auto"/>
        </w:rPr>
      </w:pPr>
    </w:p>
    <w:p>
      <w:pPr>
        <w:ind w:left="900" w:right="160" w:firstLine="756"/>
        <w:spacing w:after="0" w:line="284" w:lineRule="auto"/>
        <w:rPr>
          <w:sz w:val="20"/>
          <w:szCs w:val="20"/>
          <w:color w:val="auto"/>
        </w:rPr>
      </w:pPr>
      <w:r>
        <w:rPr>
          <w:rFonts w:ascii="Arial" w:cs="Arial" w:eastAsia="Arial" w:hAnsi="Arial"/>
          <w:sz w:val="15"/>
          <w:szCs w:val="15"/>
          <w:b w:val="1"/>
          <w:bCs w:val="1"/>
          <w:color w:val="1A475F"/>
        </w:rPr>
        <w:t xml:space="preserve">No “Gross-ups.” </w:t>
      </w:r>
      <w:r>
        <w:rPr>
          <w:rFonts w:ascii="Arial" w:cs="Arial" w:eastAsia="Arial" w:hAnsi="Arial"/>
          <w:sz w:val="15"/>
          <w:szCs w:val="15"/>
          <w:color w:val="1A475F"/>
        </w:rPr>
        <w:t>The Company does not provide tax “gross-ups” for compensation, perquisites or other benefits provided to</w:t>
      </w:r>
      <w:r>
        <w:rPr>
          <w:rFonts w:ascii="Arial" w:cs="Arial" w:eastAsia="Arial" w:hAnsi="Arial"/>
          <w:sz w:val="15"/>
          <w:szCs w:val="15"/>
          <w:b w:val="1"/>
          <w:bCs w:val="1"/>
          <w:color w:val="1A475F"/>
        </w:rPr>
        <w:t xml:space="preserve"> </w:t>
      </w:r>
      <w:r>
        <w:rPr>
          <w:rFonts w:ascii="Arial" w:cs="Arial" w:eastAsia="Arial" w:hAnsi="Arial"/>
          <w:sz w:val="15"/>
          <w:szCs w:val="15"/>
          <w:color w:val="1A475F"/>
        </w:rPr>
        <w:t>our executive officers.</w:t>
      </w:r>
    </w:p>
    <w:p>
      <w:pPr>
        <w:spacing w:after="0" w:line="32"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1A475F"/>
        </w:rPr>
        <w:t xml:space="preserve">No Repricing of Stock Options. </w:t>
      </w:r>
      <w:r>
        <w:rPr>
          <w:rFonts w:ascii="Arial" w:cs="Arial" w:eastAsia="Arial" w:hAnsi="Arial"/>
          <w:sz w:val="15"/>
          <w:szCs w:val="15"/>
          <w:color w:val="1A475F"/>
        </w:rPr>
        <w:t>The Company cannot reprice underwater stock options without shareholder approval.</w:t>
      </w:r>
    </w:p>
    <w:p>
      <w:pPr>
        <w:spacing w:after="0" w:line="94" w:lineRule="exact"/>
        <w:rPr>
          <w:sz w:val="20"/>
          <w:szCs w:val="20"/>
          <w:color w:val="auto"/>
        </w:rPr>
      </w:pPr>
    </w:p>
    <w:p>
      <w:pPr>
        <w:ind w:left="900" w:right="140" w:firstLine="756"/>
        <w:spacing w:after="0" w:line="256" w:lineRule="auto"/>
        <w:rPr>
          <w:sz w:val="20"/>
          <w:szCs w:val="20"/>
          <w:color w:val="auto"/>
        </w:rPr>
      </w:pPr>
      <w:r>
        <w:rPr>
          <w:rFonts w:ascii="Arial" w:cs="Arial" w:eastAsia="Arial" w:hAnsi="Arial"/>
          <w:sz w:val="15"/>
          <w:szCs w:val="15"/>
          <w:b w:val="1"/>
          <w:bCs w:val="1"/>
          <w:color w:val="1A475F"/>
        </w:rPr>
        <w:t xml:space="preserve">Cap / Limit on Incentive Bonus. </w:t>
      </w:r>
      <w:r>
        <w:rPr>
          <w:rFonts w:ascii="Arial" w:cs="Arial" w:eastAsia="Arial" w:hAnsi="Arial"/>
          <w:sz w:val="15"/>
          <w:szCs w:val="15"/>
          <w:color w:val="1A475F"/>
        </w:rPr>
        <w:t>The Compensation Committee has implemented a three times (3x) cap on the maximum</w:t>
      </w:r>
      <w:r>
        <w:rPr>
          <w:rFonts w:ascii="Arial" w:cs="Arial" w:eastAsia="Arial" w:hAnsi="Arial"/>
          <w:sz w:val="15"/>
          <w:szCs w:val="15"/>
          <w:b w:val="1"/>
          <w:bCs w:val="1"/>
          <w:color w:val="1A475F"/>
        </w:rPr>
        <w:t xml:space="preserve"> </w:t>
      </w:r>
      <w:r>
        <w:rPr>
          <w:rFonts w:ascii="Arial" w:cs="Arial" w:eastAsia="Arial" w:hAnsi="Arial"/>
          <w:sz w:val="15"/>
          <w:szCs w:val="15"/>
          <w:color w:val="1A475F"/>
        </w:rPr>
        <w:t>amount that could be paid to an executive officer under the portion of our annual cash bonus tied to corporate performance. The Compensation Committee believes such a limit will ensure that our annual cash bonus program rewards positive Company performance without creating an incentive to engage in undue risk or providing a windfall to an executive.</w:t>
      </w:r>
    </w:p>
    <w:p>
      <w:pPr>
        <w:spacing w:after="0" w:line="51" w:lineRule="exact"/>
        <w:rPr>
          <w:sz w:val="20"/>
          <w:szCs w:val="20"/>
          <w:color w:val="auto"/>
        </w:rPr>
      </w:pPr>
    </w:p>
    <w:p>
      <w:pPr>
        <w:ind w:left="900" w:right="80" w:firstLine="756"/>
        <w:spacing w:after="0" w:line="247" w:lineRule="auto"/>
        <w:rPr>
          <w:sz w:val="20"/>
          <w:szCs w:val="20"/>
          <w:color w:val="auto"/>
        </w:rPr>
      </w:pPr>
      <w:r>
        <w:rPr>
          <w:rFonts w:ascii="Arial" w:cs="Arial" w:eastAsia="Arial" w:hAnsi="Arial"/>
          <w:sz w:val="15"/>
          <w:szCs w:val="15"/>
          <w:b w:val="1"/>
          <w:bCs w:val="1"/>
          <w:color w:val="1A475F"/>
        </w:rPr>
        <w:t xml:space="preserve">Stock Ownership Guidelines. </w:t>
      </w:r>
      <w:r>
        <w:rPr>
          <w:rFonts w:ascii="Arial" w:cs="Arial" w:eastAsia="Arial" w:hAnsi="Arial"/>
          <w:sz w:val="15"/>
          <w:szCs w:val="15"/>
          <w:color w:val="1A475F"/>
        </w:rPr>
        <w:t>The Company has stock ownership guidelines that apply to our Chief Executive Officer,</w:t>
      </w:r>
      <w:r>
        <w:rPr>
          <w:rFonts w:ascii="Arial" w:cs="Arial" w:eastAsia="Arial" w:hAnsi="Arial"/>
          <w:sz w:val="15"/>
          <w:szCs w:val="15"/>
          <w:b w:val="1"/>
          <w:bCs w:val="1"/>
          <w:color w:val="1A475F"/>
        </w:rPr>
        <w:t xml:space="preserve"> </w:t>
      </w:r>
      <w:r>
        <w:rPr>
          <w:rFonts w:ascii="Arial" w:cs="Arial" w:eastAsia="Arial" w:hAnsi="Arial"/>
          <w:sz w:val="15"/>
          <w:szCs w:val="15"/>
          <w:color w:val="1A475F"/>
        </w:rPr>
        <w:t>executive officers and non-employee directors to further align the interests of our executive officers and directors with the interests of the Company’s shareholders. Under our guidelines, our Chief Executive Officer is expected to own shares of Company stock with a market value of at least five times (5x) his or her annual salary, each other executive officer is expected to own shares of Company stock with a market value of at least three times (3x) his or her annual salary, and each non-employee director is expected to own shares of Company stock with a market value of at least five times (5x) the annual cash retainer paid to non-employee directors for service on the Board. Non-employee directors, executive officers and our Chief Executive Officer have five years from the date they become subject to the guidelines to meet the target. The Compensation Committee reviews compliance with these guidelines annually.</w:t>
      </w:r>
    </w:p>
    <w:p>
      <w:pPr>
        <w:spacing w:after="0" w:line="96"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42</w:t>
        <w:tab/>
        <w:t>|    Bright Horizons </w:t>
      </w:r>
    </w:p>
    <w:p>
      <w:pPr>
        <w:sectPr>
          <w:pgSz w:w="11900" w:h="16838" w:orient="portrait"/>
          <w:cols w:equalWidth="0" w:num="1">
            <w:col w:w="10320"/>
          </w:cols>
          <w:pgMar w:left="320" w:top="434"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right="120" w:firstLine="756"/>
        <w:spacing w:after="0" w:line="251" w:lineRule="auto"/>
        <w:rPr>
          <w:sz w:val="20"/>
          <w:szCs w:val="20"/>
          <w:color w:val="auto"/>
        </w:rPr>
      </w:pPr>
      <w:r>
        <w:rPr>
          <w:rFonts w:ascii="Arial" w:cs="Arial" w:eastAsia="Arial" w:hAnsi="Arial"/>
          <w:sz w:val="15"/>
          <w:szCs w:val="15"/>
          <w:color w:val="1A475F"/>
        </w:rPr>
        <w:t>As of December 31, 2025, our Chief Executive Officer and each of our other NEOs had met or exceeded this stock ownership requirement and all of our non-employee directors had met or exceeded this stock ownership requirement, with the exception of</w:t>
      </w:r>
    </w:p>
    <w:p>
      <w:pPr>
        <w:ind w:left="900" w:right="680"/>
        <w:spacing w:after="0" w:line="360" w:lineRule="auto"/>
        <w:rPr>
          <w:sz w:val="20"/>
          <w:szCs w:val="20"/>
          <w:color w:val="auto"/>
        </w:rPr>
      </w:pPr>
      <w:r>
        <w:rPr>
          <w:rFonts w:ascii="Arial" w:cs="Arial" w:eastAsia="Arial" w:hAnsi="Arial"/>
          <w:sz w:val="15"/>
          <w:szCs w:val="15"/>
          <w:color w:val="1A475F"/>
        </w:rPr>
        <w:t xml:space="preserve">Ms. Schulz who was appointed in September 2024 and has five (5) years from the date of appointment to meet this requirement. </w:t>
      </w:r>
      <w:r>
        <w:rPr>
          <w:rFonts w:ascii="Arial" w:cs="Arial" w:eastAsia="Arial" w:hAnsi="Arial"/>
          <w:sz w:val="15"/>
          <w:szCs w:val="15"/>
          <w:b w:val="1"/>
          <w:bCs w:val="1"/>
          <w:i w:val="1"/>
          <w:iCs w:val="1"/>
          <w:color w:val="1A475F"/>
        </w:rPr>
        <w:t>Tax Considerations (Section 162(m))</w:t>
      </w:r>
    </w:p>
    <w:p>
      <w:pPr>
        <w:spacing w:after="0" w:line="1" w:lineRule="exact"/>
        <w:rPr>
          <w:sz w:val="20"/>
          <w:szCs w:val="20"/>
          <w:color w:val="auto"/>
        </w:rPr>
      </w:pPr>
    </w:p>
    <w:p>
      <w:pPr>
        <w:ind w:left="900" w:right="20" w:firstLine="756"/>
        <w:spacing w:after="0" w:line="246" w:lineRule="auto"/>
        <w:rPr>
          <w:sz w:val="20"/>
          <w:szCs w:val="20"/>
          <w:color w:val="auto"/>
        </w:rPr>
      </w:pPr>
      <w:r>
        <w:rPr>
          <w:rFonts w:ascii="Arial" w:cs="Arial" w:eastAsia="Arial" w:hAnsi="Arial"/>
          <w:sz w:val="15"/>
          <w:szCs w:val="15"/>
          <w:color w:val="1A475F"/>
        </w:rPr>
        <w:t>Section 162(m) (“Section 162(m)”) of the Internal Revenue Code (the “Code”) generally limits deductibility of compensation that a publicly traded company pays to certain “covered employees,” up to $1 million per year. Covered employees for this purpose include the Company’s Chief Executive Officer, Chief Financial Officer, the next three most highly compensated executive officers, and any such “covered employee” for a year after 2016. The Compensation Committee believes in the importance of retaining flexibility to approve compensation arrangements that promote the objectives of the Company’s compensation program, even if such arrangements may not qualify for full or partial tax deductibility. While the Compensation Committee considers tax consequences to the Company as a factor when it makes compensation determinations, the Compensation Committee reserves discretion to award compensation that is not fully deductible under Section 162(m) if the Compensation Committee believes that such compensation will best attract, retain, and reward executives, contribute to our business objectives and achievement of our strategic goals and in furtherance of our compensation principles described above.</w:t>
      </w:r>
    </w:p>
    <w:p>
      <w:pPr>
        <w:spacing w:after="0" w:line="61"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Risk Assessment of Overall 2025 Compensation Program</w:t>
      </w:r>
    </w:p>
    <w:p>
      <w:pPr>
        <w:spacing w:after="0" w:line="94" w:lineRule="exact"/>
        <w:rPr>
          <w:sz w:val="20"/>
          <w:szCs w:val="20"/>
          <w:color w:val="auto"/>
        </w:rPr>
      </w:pPr>
    </w:p>
    <w:p>
      <w:pPr>
        <w:ind w:left="900" w:right="40" w:firstLine="756"/>
        <w:spacing w:after="0" w:line="244" w:lineRule="auto"/>
        <w:rPr>
          <w:sz w:val="20"/>
          <w:szCs w:val="20"/>
          <w:color w:val="auto"/>
        </w:rPr>
      </w:pPr>
      <w:r>
        <w:rPr>
          <w:rFonts w:ascii="Arial" w:cs="Arial" w:eastAsia="Arial" w:hAnsi="Arial"/>
          <w:sz w:val="15"/>
          <w:szCs w:val="15"/>
          <w:color w:val="1A475F"/>
        </w:rPr>
        <w:t>The Compensation Committee has reviewed with management the design and operation of our compensation program for all employees, including our executive officers, for the purpose of determining whether such program might encourage unnecessary or excessive risk-taking. In the case of all employees, salaries are fixed in amount and thus do not encourage risk taking. For eligible employees, including our executive officers and other members of senior management, our equity awards are long-term awards that help align the interests of our employees with those of our shareholders. These awards are made on an annual basis and subject to three-year vesting schedules. The ultimate value of these awards is tied to the Company’s long-term corporate and stock price performance and, based on this long-term focus, we believe these awards should not encourage unnecessary or excessive risk-taking. Our annual cash bonus plan was established to promote and reward the achievement of key annual corporate performance goals as well as individual performance. Each executive officer receives a target award opportunity under this program that is expressed as a percentage of the executive’s salary. While 50% of the annual cash incentive bonus is based on achievement of annual corporate performance goals, and such goals are, by definition, short-term in nature, the Company’s annual incentive program represents only a portion of the total compensation opportunity. Additionally, the maximum amount that can be paid to an executive officer based on the Company’s overachievement of performance metrics is capped at three times (3x) the portion of the target bonus based on Company performance. In light of the above, the Compensation Committee, after discussion with management, believes that the Company’s compensation program does not create risks that are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125095</wp:posOffset>
            </wp:positionV>
            <wp:extent cx="5997575" cy="183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18"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Compensation Committee Report</w:t>
      </w:r>
    </w:p>
    <w:p>
      <w:pPr>
        <w:spacing w:after="0" w:line="154" w:lineRule="exact"/>
        <w:rPr>
          <w:sz w:val="20"/>
          <w:szCs w:val="20"/>
          <w:color w:val="auto"/>
        </w:rPr>
      </w:pPr>
    </w:p>
    <w:p>
      <w:pPr>
        <w:ind w:left="900" w:right="100" w:firstLine="756"/>
        <w:spacing w:after="0" w:line="257" w:lineRule="auto"/>
        <w:rPr>
          <w:sz w:val="20"/>
          <w:szCs w:val="20"/>
          <w:color w:val="auto"/>
        </w:rPr>
      </w:pPr>
      <w:r>
        <w:rPr>
          <w:rFonts w:ascii="Arial" w:cs="Arial" w:eastAsia="Arial" w:hAnsi="Arial"/>
          <w:sz w:val="15"/>
          <w:szCs w:val="15"/>
          <w:i w:val="1"/>
          <w:iCs w:val="1"/>
          <w:color w:val="1A475F"/>
        </w:rPr>
        <w:t>The information contained in this report shall not be deemed to be “soliciting material” or “filed” or incorporated by reference in future filings with the SEC, or subject to the liabilities of Section 18 of the Exchange Act, except to the extent that Bright Horizons specifically incorporates it by reference into a document filed under the Securities Act of 1933, as amended (the “Securities Act”) or the Exchange Act.</w:t>
      </w:r>
    </w:p>
    <w:p>
      <w:pPr>
        <w:spacing w:after="0" w:line="233" w:lineRule="exact"/>
        <w:rPr>
          <w:sz w:val="20"/>
          <w:szCs w:val="20"/>
          <w:color w:val="auto"/>
        </w:rPr>
      </w:pPr>
    </w:p>
    <w:p>
      <w:pPr>
        <w:ind w:left="900" w:right="160" w:firstLine="756"/>
        <w:spacing w:after="0" w:line="255" w:lineRule="auto"/>
        <w:rPr>
          <w:sz w:val="20"/>
          <w:szCs w:val="20"/>
          <w:color w:val="auto"/>
        </w:rPr>
      </w:pPr>
      <w:r>
        <w:rPr>
          <w:rFonts w:ascii="Arial" w:cs="Arial" w:eastAsia="Arial" w:hAnsi="Arial"/>
          <w:sz w:val="15"/>
          <w:szCs w:val="15"/>
          <w:color w:val="1A475F"/>
        </w:rPr>
        <w:t>The Compensation Committee has reviewed and discussed with management the foregoing Compensation Discussion and Analysis. Based on such review and discussions, the Compensation Committee recommended to the Board that the Compensation Discussion and Analysis be included in this Proxy Statement and incorporated by reference into our Annual Report on Form 10-K for the year ended December 31, 2025.</w:t>
      </w:r>
    </w:p>
    <w:p>
      <w:pPr>
        <w:spacing w:after="0" w:line="54"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Submitted by the Compensation Committee,</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Jordan Hitch, Chair</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Joshua Bekenstein</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Jennifer Schulz</w:t>
      </w:r>
    </w:p>
    <w:p>
      <w:pPr>
        <w:spacing w:after="0" w:line="112"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43</w:t>
      </w:r>
    </w:p>
    <w:p>
      <w:pPr>
        <w:sectPr>
          <w:pgSz w:w="11900" w:h="16838" w:orient="portrait"/>
          <w:cols w:equalWidth="0" w:num="1">
            <w:col w:w="10340"/>
          </w:cols>
          <w:pgMar w:left="320" w:top="434" w:right="1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189230</wp:posOffset>
            </wp:positionV>
            <wp:extent cx="5997575" cy="183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Summary Compensation Table</w:t>
      </w:r>
    </w:p>
    <w:p>
      <w:pPr>
        <w:spacing w:after="0" w:line="154" w:lineRule="exact"/>
        <w:rPr>
          <w:sz w:val="20"/>
          <w:szCs w:val="20"/>
          <w:color w:val="auto"/>
        </w:rPr>
      </w:pPr>
    </w:p>
    <w:p>
      <w:pPr>
        <w:ind w:left="900" w:right="360" w:firstLine="756"/>
        <w:spacing w:after="0" w:line="282" w:lineRule="auto"/>
        <w:rPr>
          <w:sz w:val="20"/>
          <w:szCs w:val="20"/>
          <w:color w:val="auto"/>
        </w:rPr>
      </w:pPr>
      <w:r>
        <w:rPr>
          <w:rFonts w:ascii="Arial" w:cs="Arial" w:eastAsia="Arial" w:hAnsi="Arial"/>
          <w:sz w:val="15"/>
          <w:szCs w:val="15"/>
          <w:color w:val="1A475F"/>
        </w:rPr>
        <w:t>The following table sets forth information about compensation earned by, awarded, or paid to our NEOs for the fiscal years specified below as required to be reported under SEC rules and regulations.</w:t>
      </w:r>
    </w:p>
    <w:p>
      <w:pPr>
        <w:spacing w:after="0" w:line="76" w:lineRule="exact"/>
        <w:rPr>
          <w:sz w:val="20"/>
          <w:szCs w:val="20"/>
          <w:color w:val="auto"/>
        </w:rPr>
      </w:pPr>
    </w:p>
    <w:tbl>
      <w:tblPr>
        <w:tblLayout w:type="fixed"/>
        <w:tblInd w:w="90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1A475F"/>
              </w:rPr>
              <w:t>Non-Equity</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1A475F"/>
              </w:rPr>
              <w:t>Stock</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1A475F"/>
              </w:rPr>
              <w:t>Option</w:t>
            </w:r>
          </w:p>
        </w:tc>
        <w:tc>
          <w:tcPr>
            <w:tcW w:w="14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1A475F"/>
              </w:rPr>
              <w:t>Incentive Plan</w:t>
            </w:r>
          </w:p>
        </w:tc>
        <w:tc>
          <w:tcPr>
            <w:tcW w:w="13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1A475F"/>
              </w:rPr>
              <w:t>All Other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640" w:type="dxa"/>
            <w:vAlign w:val="bottom"/>
            <w:gridSpan w:val="2"/>
            <w:vMerge w:val="restart"/>
          </w:tcPr>
          <w:p>
            <w:pPr>
              <w:spacing w:after="0"/>
              <w:rPr>
                <w:sz w:val="20"/>
                <w:szCs w:val="20"/>
                <w:color w:val="auto"/>
              </w:rPr>
            </w:pPr>
            <w:r>
              <w:rPr>
                <w:rFonts w:ascii="Arial" w:cs="Arial" w:eastAsia="Arial" w:hAnsi="Arial"/>
                <w:sz w:val="12"/>
                <w:szCs w:val="12"/>
                <w:b w:val="1"/>
                <w:bCs w:val="1"/>
                <w:color w:val="1A475F"/>
              </w:rPr>
              <w:t>Name and Principal Position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1A475F"/>
              </w:rPr>
              <w:t>Salary</w:t>
            </w:r>
          </w:p>
        </w:tc>
        <w:tc>
          <w:tcPr>
            <w:tcW w:w="6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1A475F"/>
              </w:rPr>
              <w:t>Bonus</w:t>
            </w:r>
          </w:p>
        </w:tc>
        <w:tc>
          <w:tcPr>
            <w:tcW w:w="780" w:type="dxa"/>
            <w:vAlign w:val="bottom"/>
            <w:gridSpan w:val="2"/>
          </w:tcPr>
          <w:p>
            <w:pPr>
              <w:jc w:val="center"/>
              <w:ind w:right="100"/>
              <w:spacing w:after="0" w:line="136" w:lineRule="exact"/>
              <w:rPr>
                <w:sz w:val="20"/>
                <w:szCs w:val="20"/>
                <w:color w:val="auto"/>
              </w:rPr>
            </w:pPr>
            <w:r>
              <w:rPr>
                <w:rFonts w:ascii="Arial" w:cs="Arial" w:eastAsia="Arial" w:hAnsi="Arial"/>
                <w:sz w:val="12"/>
                <w:szCs w:val="12"/>
                <w:b w:val="1"/>
                <w:bCs w:val="1"/>
                <w:color w:val="1A475F"/>
              </w:rPr>
              <w:t>Awards</w:t>
            </w: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1A475F"/>
              </w:rPr>
              <w:t>Awards</w:t>
            </w:r>
          </w:p>
        </w:tc>
        <w:tc>
          <w:tcPr>
            <w:tcW w:w="1400" w:type="dxa"/>
            <w:vAlign w:val="bottom"/>
            <w:gridSpan w:val="2"/>
          </w:tcPr>
          <w:p>
            <w:pPr>
              <w:jc w:val="center"/>
              <w:ind w:right="100"/>
              <w:spacing w:after="0" w:line="136" w:lineRule="exact"/>
              <w:rPr>
                <w:sz w:val="20"/>
                <w:szCs w:val="20"/>
                <w:color w:val="auto"/>
              </w:rPr>
            </w:pPr>
            <w:r>
              <w:rPr>
                <w:rFonts w:ascii="Arial" w:cs="Arial" w:eastAsia="Arial" w:hAnsi="Arial"/>
                <w:sz w:val="12"/>
                <w:szCs w:val="12"/>
                <w:b w:val="1"/>
                <w:bCs w:val="1"/>
                <w:color w:val="1A475F"/>
              </w:rPr>
              <w:t>Compensation</w:t>
            </w:r>
          </w:p>
        </w:tc>
        <w:tc>
          <w:tcPr>
            <w:tcW w:w="1340" w:type="dxa"/>
            <w:vAlign w:val="bottom"/>
            <w:gridSpan w:val="2"/>
          </w:tcPr>
          <w:p>
            <w:pPr>
              <w:jc w:val="center"/>
              <w:ind w:right="80"/>
              <w:spacing w:after="0" w:line="136" w:lineRule="exact"/>
              <w:rPr>
                <w:sz w:val="20"/>
                <w:szCs w:val="20"/>
                <w:color w:val="auto"/>
              </w:rPr>
            </w:pPr>
            <w:r>
              <w:rPr>
                <w:rFonts w:ascii="Arial" w:cs="Arial" w:eastAsia="Arial" w:hAnsi="Arial"/>
                <w:sz w:val="12"/>
                <w:szCs w:val="12"/>
                <w:b w:val="1"/>
                <w:bCs w:val="1"/>
                <w:color w:val="1A475F"/>
              </w:rPr>
              <w:t>Compensation</w:t>
            </w:r>
          </w:p>
        </w:tc>
        <w:tc>
          <w:tcPr>
            <w:tcW w:w="720" w:type="dxa"/>
            <w:vAlign w:val="bottom"/>
          </w:tcPr>
          <w:p>
            <w:pPr>
              <w:jc w:val="right"/>
              <w:ind w:right="151"/>
              <w:spacing w:after="0" w:line="136" w:lineRule="exact"/>
              <w:rPr>
                <w:sz w:val="20"/>
                <w:szCs w:val="20"/>
                <w:color w:val="auto"/>
              </w:rPr>
            </w:pPr>
            <w:r>
              <w:rPr>
                <w:rFonts w:ascii="Arial" w:cs="Arial" w:eastAsia="Arial" w:hAnsi="Arial"/>
                <w:sz w:val="12"/>
                <w:szCs w:val="12"/>
                <w:b w:val="1"/>
                <w:bCs w:val="1"/>
                <w:color w:val="1A475F"/>
              </w:rPr>
              <w:t>Total</w:t>
            </w:r>
          </w:p>
        </w:tc>
        <w:tc>
          <w:tcPr>
            <w:tcW w:w="0" w:type="dxa"/>
            <w:vAlign w:val="bottom"/>
          </w:tcPr>
          <w:p>
            <w:pPr>
              <w:spacing w:after="0"/>
              <w:rPr>
                <w:sz w:val="1"/>
                <w:szCs w:val="1"/>
                <w:color w:val="auto"/>
              </w:rPr>
            </w:pPr>
          </w:p>
        </w:tc>
      </w:tr>
      <w:tr>
        <w:trPr>
          <w:trHeight w:val="150"/>
        </w:trPr>
        <w:tc>
          <w:tcPr>
            <w:tcW w:w="2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1A475F"/>
              </w:rPr>
              <w:t>Year</w:t>
            </w:r>
          </w:p>
        </w:tc>
        <w:tc>
          <w:tcPr>
            <w:tcW w:w="600" w:type="dxa"/>
            <w:vAlign w:val="bottom"/>
          </w:tcPr>
          <w:p>
            <w:pPr>
              <w:ind w:left="160"/>
              <w:spacing w:after="0" w:line="150" w:lineRule="exact"/>
              <w:rPr>
                <w:sz w:val="20"/>
                <w:szCs w:val="20"/>
                <w:color w:val="auto"/>
              </w:rPr>
            </w:pPr>
            <w:r>
              <w:rPr>
                <w:rFonts w:ascii="Arial" w:cs="Arial" w:eastAsia="Arial" w:hAnsi="Arial"/>
                <w:sz w:val="12"/>
                <w:szCs w:val="12"/>
                <w:b w:val="1"/>
                <w:bCs w:val="1"/>
                <w:color w:val="1A475F"/>
              </w:rPr>
              <w:t>($)</w:t>
            </w:r>
            <w:r>
              <w:rPr>
                <w:rFonts w:ascii="Arial" w:cs="Arial" w:eastAsia="Arial" w:hAnsi="Arial"/>
                <w:sz w:val="17"/>
                <w:szCs w:val="17"/>
                <w:b w:val="1"/>
                <w:bCs w:val="1"/>
                <w:color w:val="1A475F"/>
                <w:vertAlign w:val="superscript"/>
              </w:rPr>
              <w:t>(1)</w:t>
            </w:r>
          </w:p>
        </w:tc>
        <w:tc>
          <w:tcPr>
            <w:tcW w:w="60" w:type="dxa"/>
            <w:vAlign w:val="bottom"/>
          </w:tcPr>
          <w:p>
            <w:pPr>
              <w:spacing w:after="0"/>
              <w:rPr>
                <w:sz w:val="13"/>
                <w:szCs w:val="13"/>
                <w:color w:val="auto"/>
              </w:rPr>
            </w:pPr>
          </w:p>
        </w:tc>
        <w:tc>
          <w:tcPr>
            <w:tcW w:w="600" w:type="dxa"/>
            <w:vAlign w:val="bottom"/>
          </w:tcPr>
          <w:p>
            <w:pPr>
              <w:ind w:left="160"/>
              <w:spacing w:after="0" w:line="150" w:lineRule="exact"/>
              <w:rPr>
                <w:sz w:val="20"/>
                <w:szCs w:val="20"/>
                <w:color w:val="auto"/>
              </w:rPr>
            </w:pPr>
            <w:r>
              <w:rPr>
                <w:rFonts w:ascii="Arial" w:cs="Arial" w:eastAsia="Arial" w:hAnsi="Arial"/>
                <w:sz w:val="12"/>
                <w:szCs w:val="12"/>
                <w:b w:val="1"/>
                <w:bCs w:val="1"/>
                <w:color w:val="1A475F"/>
              </w:rPr>
              <w:t>($)</w:t>
            </w:r>
            <w:r>
              <w:rPr>
                <w:rFonts w:ascii="Arial" w:cs="Arial" w:eastAsia="Arial" w:hAnsi="Arial"/>
                <w:sz w:val="17"/>
                <w:szCs w:val="17"/>
                <w:b w:val="1"/>
                <w:bCs w:val="1"/>
                <w:color w:val="1A475F"/>
                <w:vertAlign w:val="superscript"/>
              </w:rPr>
              <w:t>(2)</w:t>
            </w:r>
          </w:p>
        </w:tc>
        <w:tc>
          <w:tcPr>
            <w:tcW w:w="80" w:type="dxa"/>
            <w:vAlign w:val="bottom"/>
          </w:tcPr>
          <w:p>
            <w:pPr>
              <w:spacing w:after="0"/>
              <w:rPr>
                <w:sz w:val="13"/>
                <w:szCs w:val="13"/>
                <w:color w:val="auto"/>
              </w:rPr>
            </w:pPr>
          </w:p>
        </w:tc>
        <w:tc>
          <w:tcPr>
            <w:tcW w:w="720" w:type="dxa"/>
            <w:vAlign w:val="bottom"/>
          </w:tcPr>
          <w:p>
            <w:pPr>
              <w:jc w:val="center"/>
              <w:spacing w:after="0" w:line="150" w:lineRule="exact"/>
              <w:rPr>
                <w:sz w:val="20"/>
                <w:szCs w:val="20"/>
                <w:color w:val="auto"/>
              </w:rPr>
            </w:pPr>
            <w:r>
              <w:rPr>
                <w:rFonts w:ascii="Arial" w:cs="Arial" w:eastAsia="Arial" w:hAnsi="Arial"/>
                <w:sz w:val="12"/>
                <w:szCs w:val="12"/>
                <w:b w:val="1"/>
                <w:bCs w:val="1"/>
                <w:color w:val="1A475F"/>
                <w:w w:val="91"/>
              </w:rPr>
              <w:t>($)</w:t>
            </w:r>
            <w:r>
              <w:rPr>
                <w:rFonts w:ascii="Arial" w:cs="Arial" w:eastAsia="Arial" w:hAnsi="Arial"/>
                <w:sz w:val="17"/>
                <w:szCs w:val="17"/>
                <w:b w:val="1"/>
                <w:bCs w:val="1"/>
                <w:color w:val="1A475F"/>
                <w:w w:val="91"/>
                <w:vertAlign w:val="superscript"/>
              </w:rPr>
              <w:t>(3)</w:t>
            </w:r>
          </w:p>
        </w:tc>
        <w:tc>
          <w:tcPr>
            <w:tcW w:w="60" w:type="dxa"/>
            <w:vAlign w:val="bottom"/>
          </w:tcPr>
          <w:p>
            <w:pPr>
              <w:spacing w:after="0"/>
              <w:rPr>
                <w:sz w:val="13"/>
                <w:szCs w:val="13"/>
                <w:color w:val="auto"/>
              </w:rPr>
            </w:pPr>
          </w:p>
        </w:tc>
        <w:tc>
          <w:tcPr>
            <w:tcW w:w="600" w:type="dxa"/>
            <w:vAlign w:val="bottom"/>
          </w:tcPr>
          <w:p>
            <w:pPr>
              <w:ind w:left="160"/>
              <w:spacing w:after="0" w:line="150" w:lineRule="exact"/>
              <w:rPr>
                <w:sz w:val="20"/>
                <w:szCs w:val="20"/>
                <w:color w:val="auto"/>
              </w:rPr>
            </w:pPr>
            <w:r>
              <w:rPr>
                <w:rFonts w:ascii="Arial" w:cs="Arial" w:eastAsia="Arial" w:hAnsi="Arial"/>
                <w:sz w:val="12"/>
                <w:szCs w:val="12"/>
                <w:b w:val="1"/>
                <w:bCs w:val="1"/>
                <w:color w:val="1A475F"/>
              </w:rPr>
              <w:t>($)</w:t>
            </w:r>
            <w:r>
              <w:rPr>
                <w:rFonts w:ascii="Arial" w:cs="Arial" w:eastAsia="Arial" w:hAnsi="Arial"/>
                <w:sz w:val="17"/>
                <w:szCs w:val="17"/>
                <w:b w:val="1"/>
                <w:bCs w:val="1"/>
                <w:color w:val="1A475F"/>
                <w:vertAlign w:val="superscript"/>
              </w:rPr>
              <w:t>(4)</w:t>
            </w:r>
          </w:p>
        </w:tc>
        <w:tc>
          <w:tcPr>
            <w:tcW w:w="80" w:type="dxa"/>
            <w:vAlign w:val="bottom"/>
          </w:tcPr>
          <w:p>
            <w:pPr>
              <w:spacing w:after="0"/>
              <w:rPr>
                <w:sz w:val="13"/>
                <w:szCs w:val="13"/>
                <w:color w:val="auto"/>
              </w:rPr>
            </w:pPr>
          </w:p>
        </w:tc>
        <w:tc>
          <w:tcPr>
            <w:tcW w:w="1340" w:type="dxa"/>
            <w:vAlign w:val="bottom"/>
          </w:tcPr>
          <w:p>
            <w:pPr>
              <w:jc w:val="center"/>
              <w:spacing w:after="0" w:line="150" w:lineRule="exact"/>
              <w:rPr>
                <w:sz w:val="20"/>
                <w:szCs w:val="20"/>
                <w:color w:val="auto"/>
              </w:rPr>
            </w:pPr>
            <w:r>
              <w:rPr>
                <w:rFonts w:ascii="Arial" w:cs="Arial" w:eastAsia="Arial" w:hAnsi="Arial"/>
                <w:sz w:val="12"/>
                <w:szCs w:val="12"/>
                <w:b w:val="1"/>
                <w:bCs w:val="1"/>
                <w:color w:val="1A475F"/>
                <w:w w:val="91"/>
              </w:rPr>
              <w:t>($)</w:t>
            </w:r>
            <w:r>
              <w:rPr>
                <w:rFonts w:ascii="Arial" w:cs="Arial" w:eastAsia="Arial" w:hAnsi="Arial"/>
                <w:sz w:val="17"/>
                <w:szCs w:val="17"/>
                <w:b w:val="1"/>
                <w:bCs w:val="1"/>
                <w:color w:val="1A475F"/>
                <w:w w:val="91"/>
                <w:vertAlign w:val="superscript"/>
              </w:rPr>
              <w:t>(5)</w:t>
            </w:r>
          </w:p>
        </w:tc>
        <w:tc>
          <w:tcPr>
            <w:tcW w:w="60" w:type="dxa"/>
            <w:vAlign w:val="bottom"/>
          </w:tcPr>
          <w:p>
            <w:pPr>
              <w:spacing w:after="0"/>
              <w:rPr>
                <w:sz w:val="13"/>
                <w:szCs w:val="13"/>
                <w:color w:val="auto"/>
              </w:rPr>
            </w:pPr>
          </w:p>
        </w:tc>
        <w:tc>
          <w:tcPr>
            <w:tcW w:w="1260" w:type="dxa"/>
            <w:vAlign w:val="bottom"/>
          </w:tcPr>
          <w:p>
            <w:pPr>
              <w:jc w:val="center"/>
              <w:spacing w:after="0" w:line="150" w:lineRule="exact"/>
              <w:rPr>
                <w:sz w:val="20"/>
                <w:szCs w:val="20"/>
                <w:color w:val="auto"/>
              </w:rPr>
            </w:pPr>
            <w:r>
              <w:rPr>
                <w:rFonts w:ascii="Arial" w:cs="Arial" w:eastAsia="Arial" w:hAnsi="Arial"/>
                <w:sz w:val="12"/>
                <w:szCs w:val="12"/>
                <w:b w:val="1"/>
                <w:bCs w:val="1"/>
                <w:color w:val="1A475F"/>
                <w:w w:val="91"/>
              </w:rPr>
              <w:t>($)</w:t>
            </w:r>
            <w:r>
              <w:rPr>
                <w:rFonts w:ascii="Arial" w:cs="Arial" w:eastAsia="Arial" w:hAnsi="Arial"/>
                <w:sz w:val="17"/>
                <w:szCs w:val="17"/>
                <w:b w:val="1"/>
                <w:bCs w:val="1"/>
                <w:color w:val="1A475F"/>
                <w:w w:val="91"/>
                <w:vertAlign w:val="superscript"/>
              </w:rPr>
              <w:t>(6)</w:t>
            </w:r>
          </w:p>
        </w:tc>
        <w:tc>
          <w:tcPr>
            <w:tcW w:w="80" w:type="dxa"/>
            <w:vAlign w:val="bottom"/>
          </w:tcPr>
          <w:p>
            <w:pPr>
              <w:spacing w:after="0"/>
              <w:rPr>
                <w:sz w:val="13"/>
                <w:szCs w:val="13"/>
                <w:color w:val="auto"/>
              </w:rPr>
            </w:pPr>
          </w:p>
        </w:tc>
        <w:tc>
          <w:tcPr>
            <w:tcW w:w="720" w:type="dxa"/>
            <w:vAlign w:val="bottom"/>
          </w:tcPr>
          <w:p>
            <w:pPr>
              <w:jc w:val="right"/>
              <w:ind w:right="231"/>
              <w:spacing w:after="0"/>
              <w:rPr>
                <w:sz w:val="20"/>
                <w:szCs w:val="20"/>
                <w:color w:val="auto"/>
              </w:rPr>
            </w:pPr>
            <w:r>
              <w:rPr>
                <w:rFonts w:ascii="Arial" w:cs="Arial" w:eastAsia="Arial" w:hAnsi="Arial"/>
                <w:sz w:val="12"/>
                <w:szCs w:val="12"/>
                <w:b w:val="1"/>
                <w:bCs w:val="1"/>
                <w:color w:val="1A475F"/>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2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4"/>
                <w:szCs w:val="14"/>
                <w:b w:val="1"/>
                <w:bCs w:val="1"/>
                <w:color w:val="1A475F"/>
              </w:rPr>
              <w:t>Stephen H. Kramer</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1A475F"/>
              </w:rPr>
              <w:t>2025</w:t>
            </w: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80"/>
              <w:spacing w:after="0" w:line="154" w:lineRule="exact"/>
              <w:rPr>
                <w:sz w:val="20"/>
                <w:szCs w:val="20"/>
                <w:color w:val="auto"/>
              </w:rPr>
            </w:pPr>
            <w:r>
              <w:rPr>
                <w:rFonts w:ascii="Arial" w:cs="Arial" w:eastAsia="Arial" w:hAnsi="Arial"/>
                <w:sz w:val="14"/>
                <w:szCs w:val="14"/>
                <w:color w:val="1A475F"/>
                <w:w w:val="98"/>
              </w:rPr>
              <w:t>699,660</w:t>
            </w: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100"/>
              <w:spacing w:after="0" w:line="154" w:lineRule="exact"/>
              <w:rPr>
                <w:sz w:val="20"/>
                <w:szCs w:val="20"/>
                <w:color w:val="auto"/>
              </w:rPr>
            </w:pPr>
            <w:r>
              <w:rPr>
                <w:rFonts w:ascii="Arial" w:cs="Arial" w:eastAsia="Arial" w:hAnsi="Arial"/>
                <w:sz w:val="14"/>
                <w:szCs w:val="14"/>
                <w:color w:val="1A475F"/>
                <w:w w:val="94"/>
              </w:rPr>
              <w:t>507,254</w:t>
            </w: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1A475F"/>
              </w:rPr>
              <w:t>2,625,034</w:t>
            </w: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100"/>
              <w:spacing w:after="0" w:line="154" w:lineRule="exact"/>
              <w:rPr>
                <w:sz w:val="20"/>
                <w:szCs w:val="20"/>
                <w:color w:val="auto"/>
              </w:rPr>
            </w:pPr>
            <w:r>
              <w:rPr>
                <w:rFonts w:ascii="Arial" w:cs="Arial" w:eastAsia="Arial" w:hAnsi="Arial"/>
                <w:sz w:val="14"/>
                <w:szCs w:val="14"/>
                <w:color w:val="1A475F"/>
                <w:w w:val="94"/>
              </w:rPr>
              <w:t>875,133</w:t>
            </w: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ind w:right="332"/>
              <w:spacing w:after="0" w:line="154" w:lineRule="exact"/>
              <w:rPr>
                <w:sz w:val="20"/>
                <w:szCs w:val="20"/>
                <w:color w:val="auto"/>
              </w:rPr>
            </w:pPr>
            <w:r>
              <w:rPr>
                <w:rFonts w:ascii="Arial" w:cs="Arial" w:eastAsia="Arial" w:hAnsi="Arial"/>
                <w:sz w:val="14"/>
                <w:szCs w:val="14"/>
                <w:color w:val="1A475F"/>
              </w:rPr>
              <w:t>588,414</w:t>
            </w:r>
          </w:p>
        </w:tc>
        <w:tc>
          <w:tcPr>
            <w:tcW w:w="6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332"/>
              <w:spacing w:after="0" w:line="154" w:lineRule="exact"/>
              <w:rPr>
                <w:sz w:val="20"/>
                <w:szCs w:val="20"/>
                <w:color w:val="auto"/>
              </w:rPr>
            </w:pPr>
            <w:r>
              <w:rPr>
                <w:rFonts w:ascii="Arial" w:cs="Arial" w:eastAsia="Arial" w:hAnsi="Arial"/>
                <w:sz w:val="14"/>
                <w:szCs w:val="14"/>
                <w:color w:val="1A475F"/>
              </w:rPr>
              <w:t>8,243</w:t>
            </w: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1A475F"/>
              </w:rPr>
              <w:t>5,303,738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1A475F"/>
              </w:rPr>
              <w:t>Chief Executive Officer and President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2024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1A475F"/>
                <w:w w:val="98"/>
              </w:rPr>
              <w:t>672,750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487,744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2,625,024</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874,988</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487,744</w:t>
            </w: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6,013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5,154,263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2023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1A475F"/>
                <w:w w:val="98"/>
              </w:rPr>
              <w:t>650,000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471,250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2,624,987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874,997</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299,715</w:t>
            </w: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6,865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4,927,814</w:t>
            </w:r>
          </w:p>
        </w:tc>
        <w:tc>
          <w:tcPr>
            <w:tcW w:w="0" w:type="dxa"/>
            <w:vAlign w:val="bottom"/>
          </w:tcPr>
          <w:p>
            <w:pPr>
              <w:spacing w:after="0"/>
              <w:rPr>
                <w:sz w:val="1"/>
                <w:szCs w:val="1"/>
                <w:color w:val="auto"/>
              </w:rPr>
            </w:pPr>
          </w:p>
        </w:tc>
      </w:tr>
      <w:tr>
        <w:trPr>
          <w:trHeight w:val="242"/>
        </w:trPr>
        <w:tc>
          <w:tcPr>
            <w:tcW w:w="2640" w:type="dxa"/>
            <w:vAlign w:val="bottom"/>
            <w:gridSpan w:val="2"/>
          </w:tcPr>
          <w:p>
            <w:pPr>
              <w:spacing w:after="0"/>
              <w:rPr>
                <w:sz w:val="20"/>
                <w:szCs w:val="20"/>
                <w:color w:val="auto"/>
              </w:rPr>
            </w:pPr>
            <w:r>
              <w:rPr>
                <w:rFonts w:ascii="Arial" w:cs="Arial" w:eastAsia="Arial" w:hAnsi="Arial"/>
                <w:sz w:val="14"/>
                <w:szCs w:val="14"/>
                <w:b w:val="1"/>
                <w:bCs w:val="1"/>
                <w:color w:val="1A475F"/>
              </w:rPr>
              <w:t>Elizabeth J. Boland</w:t>
            </w:r>
          </w:p>
        </w:tc>
        <w:tc>
          <w:tcPr>
            <w:tcW w:w="480" w:type="dxa"/>
            <w:vAlign w:val="bottom"/>
            <w:gridSpan w:val="2"/>
          </w:tcPr>
          <w:p>
            <w:pPr>
              <w:jc w:val="right"/>
              <w:spacing w:after="0"/>
              <w:rPr>
                <w:sz w:val="20"/>
                <w:szCs w:val="20"/>
                <w:color w:val="auto"/>
              </w:rPr>
            </w:pPr>
            <w:r>
              <w:rPr>
                <w:rFonts w:ascii="Arial" w:cs="Arial" w:eastAsia="Arial" w:hAnsi="Arial"/>
                <w:sz w:val="14"/>
                <w:szCs w:val="14"/>
                <w:color w:val="1A475F"/>
              </w:rPr>
              <w:t>2025</w:t>
            </w:r>
          </w:p>
        </w:tc>
        <w:tc>
          <w:tcPr>
            <w:tcW w:w="80" w:type="dxa"/>
            <w:vAlign w:val="bottom"/>
          </w:tcPr>
          <w:p>
            <w:pPr>
              <w:spacing w:after="0"/>
              <w:rPr>
                <w:sz w:val="21"/>
                <w:szCs w:val="21"/>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1A475F"/>
                <w:w w:val="98"/>
              </w:rPr>
              <w:t>430,560</w:t>
            </w:r>
          </w:p>
        </w:tc>
        <w:tc>
          <w:tcPr>
            <w:tcW w:w="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215,280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825,011</w:t>
            </w:r>
          </w:p>
        </w:tc>
        <w:tc>
          <w:tcPr>
            <w:tcW w:w="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275,028</w:t>
            </w:r>
          </w:p>
        </w:tc>
        <w:tc>
          <w:tcPr>
            <w:tcW w:w="80" w:type="dxa"/>
            <w:vAlign w:val="bottom"/>
          </w:tcPr>
          <w:p>
            <w:pPr>
              <w:spacing w:after="0"/>
              <w:rPr>
                <w:sz w:val="21"/>
                <w:szCs w:val="21"/>
                <w:color w:val="auto"/>
              </w:rPr>
            </w:pPr>
          </w:p>
        </w:tc>
        <w:tc>
          <w:tcPr>
            <w:tcW w:w="1340" w:type="dxa"/>
            <w:vAlign w:val="bottom"/>
          </w:tcPr>
          <w:p>
            <w:pPr>
              <w:jc w:val="right"/>
              <w:ind w:right="332"/>
              <w:spacing w:after="0"/>
              <w:rPr>
                <w:sz w:val="20"/>
                <w:szCs w:val="20"/>
                <w:color w:val="auto"/>
              </w:rPr>
            </w:pPr>
            <w:r>
              <w:rPr>
                <w:rFonts w:ascii="Arial" w:cs="Arial" w:eastAsia="Arial" w:hAnsi="Arial"/>
                <w:sz w:val="14"/>
                <w:szCs w:val="14"/>
                <w:color w:val="1A475F"/>
              </w:rPr>
              <w:t>249,725</w:t>
            </w:r>
          </w:p>
        </w:tc>
        <w:tc>
          <w:tcPr>
            <w:tcW w:w="60" w:type="dxa"/>
            <w:vAlign w:val="bottom"/>
          </w:tcPr>
          <w:p>
            <w:pPr>
              <w:spacing w:after="0"/>
              <w:rPr>
                <w:sz w:val="21"/>
                <w:szCs w:val="21"/>
                <w:color w:val="auto"/>
              </w:rPr>
            </w:pPr>
          </w:p>
        </w:tc>
        <w:tc>
          <w:tcPr>
            <w:tcW w:w="1260" w:type="dxa"/>
            <w:vAlign w:val="bottom"/>
          </w:tcPr>
          <w:p>
            <w:pPr>
              <w:jc w:val="right"/>
              <w:ind w:right="332"/>
              <w:spacing w:after="0"/>
              <w:rPr>
                <w:sz w:val="20"/>
                <w:szCs w:val="20"/>
                <w:color w:val="auto"/>
              </w:rPr>
            </w:pPr>
            <w:r>
              <w:rPr>
                <w:rFonts w:ascii="Arial" w:cs="Arial" w:eastAsia="Arial" w:hAnsi="Arial"/>
                <w:sz w:val="14"/>
                <w:szCs w:val="14"/>
                <w:color w:val="1A475F"/>
              </w:rPr>
              <w:t>6,777</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2,002,381</w:t>
            </w: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rPr>
                <w:sz w:val="20"/>
                <w:szCs w:val="20"/>
                <w:color w:val="auto"/>
              </w:rPr>
            </w:pPr>
            <w:r>
              <w:rPr>
                <w:rFonts w:ascii="Arial" w:cs="Arial" w:eastAsia="Arial" w:hAnsi="Arial"/>
                <w:sz w:val="14"/>
                <w:szCs w:val="14"/>
                <w:color w:val="1A475F"/>
              </w:rPr>
              <w:t>Chief Financial Officer</w:t>
            </w:r>
          </w:p>
        </w:tc>
        <w:tc>
          <w:tcPr>
            <w:tcW w:w="480" w:type="dxa"/>
            <w:vAlign w:val="bottom"/>
            <w:gridSpan w:val="2"/>
          </w:tcPr>
          <w:p>
            <w:pPr>
              <w:jc w:val="right"/>
              <w:spacing w:after="0"/>
              <w:rPr>
                <w:sz w:val="20"/>
                <w:szCs w:val="20"/>
                <w:color w:val="auto"/>
              </w:rPr>
            </w:pPr>
            <w:r>
              <w:rPr>
                <w:rFonts w:ascii="Arial" w:cs="Arial" w:eastAsia="Arial" w:hAnsi="Arial"/>
                <w:sz w:val="14"/>
                <w:szCs w:val="14"/>
                <w:color w:val="1A475F"/>
              </w:rPr>
              <w:t>2024</w:t>
            </w:r>
          </w:p>
        </w:tc>
        <w:tc>
          <w:tcPr>
            <w:tcW w:w="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1A475F"/>
                <w:w w:val="98"/>
              </w:rPr>
              <w:t>414,000</w:t>
            </w:r>
          </w:p>
        </w:tc>
        <w:tc>
          <w:tcPr>
            <w:tcW w:w="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207,000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825,047</w:t>
            </w:r>
          </w:p>
        </w:tc>
        <w:tc>
          <w:tcPr>
            <w:tcW w:w="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274,977</w:t>
            </w:r>
          </w:p>
        </w:tc>
        <w:tc>
          <w:tcPr>
            <w:tcW w:w="80" w:type="dxa"/>
            <w:vAlign w:val="bottom"/>
          </w:tcPr>
          <w:p>
            <w:pPr>
              <w:spacing w:after="0"/>
              <w:rPr>
                <w:sz w:val="14"/>
                <w:szCs w:val="14"/>
                <w:color w:val="auto"/>
              </w:rPr>
            </w:pPr>
          </w:p>
        </w:tc>
        <w:tc>
          <w:tcPr>
            <w:tcW w:w="1340" w:type="dxa"/>
            <w:vAlign w:val="bottom"/>
          </w:tcPr>
          <w:p>
            <w:pPr>
              <w:jc w:val="right"/>
              <w:ind w:right="332"/>
              <w:spacing w:after="0"/>
              <w:rPr>
                <w:sz w:val="20"/>
                <w:szCs w:val="20"/>
                <w:color w:val="auto"/>
              </w:rPr>
            </w:pPr>
            <w:r>
              <w:rPr>
                <w:rFonts w:ascii="Arial" w:cs="Arial" w:eastAsia="Arial" w:hAnsi="Arial"/>
                <w:sz w:val="14"/>
                <w:szCs w:val="14"/>
                <w:color w:val="1A475F"/>
              </w:rPr>
              <w:t>207,000</w:t>
            </w:r>
          </w:p>
        </w:tc>
        <w:tc>
          <w:tcPr>
            <w:tcW w:w="60" w:type="dxa"/>
            <w:vAlign w:val="bottom"/>
          </w:tcPr>
          <w:p>
            <w:pPr>
              <w:spacing w:after="0"/>
              <w:rPr>
                <w:sz w:val="14"/>
                <w:szCs w:val="14"/>
                <w:color w:val="auto"/>
              </w:rPr>
            </w:pPr>
          </w:p>
        </w:tc>
        <w:tc>
          <w:tcPr>
            <w:tcW w:w="1260" w:type="dxa"/>
            <w:vAlign w:val="bottom"/>
          </w:tcPr>
          <w:p>
            <w:pPr>
              <w:jc w:val="right"/>
              <w:ind w:right="332"/>
              <w:spacing w:after="0"/>
              <w:rPr>
                <w:sz w:val="20"/>
                <w:szCs w:val="20"/>
                <w:color w:val="auto"/>
              </w:rPr>
            </w:pPr>
            <w:r>
              <w:rPr>
                <w:rFonts w:ascii="Arial" w:cs="Arial" w:eastAsia="Arial" w:hAnsi="Arial"/>
                <w:sz w:val="14"/>
                <w:szCs w:val="14"/>
                <w:color w:val="1A475F"/>
              </w:rPr>
              <w:t>4,409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1,932,433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1A475F"/>
              </w:rPr>
              <w:t>2023</w:t>
            </w:r>
          </w:p>
        </w:tc>
        <w:tc>
          <w:tcPr>
            <w:tcW w:w="8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1A475F"/>
                <w:w w:val="98"/>
              </w:rPr>
              <w:t>400,000</w:t>
            </w:r>
          </w:p>
        </w:tc>
        <w:tc>
          <w:tcPr>
            <w:tcW w:w="6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200,000</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824,978</w:t>
            </w:r>
          </w:p>
        </w:tc>
        <w:tc>
          <w:tcPr>
            <w:tcW w:w="6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274,995</w:t>
            </w:r>
          </w:p>
        </w:tc>
        <w:tc>
          <w:tcPr>
            <w:tcW w:w="80" w:type="dxa"/>
            <w:vAlign w:val="bottom"/>
          </w:tcPr>
          <w:p>
            <w:pPr>
              <w:spacing w:after="0"/>
              <w:rPr>
                <w:sz w:val="15"/>
                <w:szCs w:val="15"/>
                <w:color w:val="auto"/>
              </w:rPr>
            </w:pPr>
          </w:p>
        </w:tc>
        <w:tc>
          <w:tcPr>
            <w:tcW w:w="1340" w:type="dxa"/>
            <w:vAlign w:val="bottom"/>
          </w:tcPr>
          <w:p>
            <w:pPr>
              <w:jc w:val="right"/>
              <w:ind w:right="332"/>
              <w:spacing w:after="0"/>
              <w:rPr>
                <w:sz w:val="20"/>
                <w:szCs w:val="20"/>
                <w:color w:val="auto"/>
              </w:rPr>
            </w:pPr>
            <w:r>
              <w:rPr>
                <w:rFonts w:ascii="Arial" w:cs="Arial" w:eastAsia="Arial" w:hAnsi="Arial"/>
                <w:sz w:val="14"/>
                <w:szCs w:val="14"/>
                <w:color w:val="1A475F"/>
              </w:rPr>
              <w:t>127,200</w:t>
            </w:r>
          </w:p>
        </w:tc>
        <w:tc>
          <w:tcPr>
            <w:tcW w:w="60" w:type="dxa"/>
            <w:vAlign w:val="bottom"/>
          </w:tcPr>
          <w:p>
            <w:pPr>
              <w:spacing w:after="0"/>
              <w:rPr>
                <w:sz w:val="15"/>
                <w:szCs w:val="15"/>
                <w:color w:val="auto"/>
              </w:rPr>
            </w:pPr>
          </w:p>
        </w:tc>
        <w:tc>
          <w:tcPr>
            <w:tcW w:w="1260" w:type="dxa"/>
            <w:vAlign w:val="bottom"/>
          </w:tcPr>
          <w:p>
            <w:pPr>
              <w:jc w:val="right"/>
              <w:ind w:right="332"/>
              <w:spacing w:after="0"/>
              <w:rPr>
                <w:sz w:val="20"/>
                <w:szCs w:val="20"/>
                <w:color w:val="auto"/>
              </w:rPr>
            </w:pPr>
            <w:r>
              <w:rPr>
                <w:rFonts w:ascii="Arial" w:cs="Arial" w:eastAsia="Arial" w:hAnsi="Arial"/>
                <w:sz w:val="14"/>
                <w:szCs w:val="14"/>
                <w:color w:val="1A475F"/>
              </w:rPr>
              <w:t>5,440</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1,832,613</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48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b w:val="1"/>
                <w:bCs w:val="1"/>
                <w:color w:val="1A475F"/>
              </w:rPr>
              <w:t>Mary Lou Burke Afonso</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A475F"/>
              </w:rPr>
              <w:t>2025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1A475F"/>
                <w:w w:val="98"/>
              </w:rPr>
              <w:t>430,560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215,280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825,011</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275,028</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249,725</w:t>
            </w: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9,500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2,005,104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1A475F"/>
              </w:rPr>
              <w:t>Chief Operating Officer,</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2024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1A475F"/>
                <w:w w:val="98"/>
              </w:rPr>
              <w:t>414,000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207,000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825,047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274,977</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207,000</w:t>
            </w: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7,957</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1,935,981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1A475F"/>
              </w:rPr>
              <w:t>North America Center Operations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2023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1A475F"/>
                <w:w w:val="98"/>
              </w:rPr>
              <w:t>400,000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200,000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824,978</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274,995</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127,200</w:t>
            </w: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6,252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1,833,425</w:t>
            </w:r>
          </w:p>
        </w:tc>
        <w:tc>
          <w:tcPr>
            <w:tcW w:w="0" w:type="dxa"/>
            <w:vAlign w:val="bottom"/>
          </w:tcPr>
          <w:p>
            <w:pPr>
              <w:spacing w:after="0"/>
              <w:rPr>
                <w:sz w:val="1"/>
                <w:szCs w:val="1"/>
                <w:color w:val="auto"/>
              </w:rPr>
            </w:pPr>
          </w:p>
        </w:tc>
      </w:tr>
      <w:tr>
        <w:trPr>
          <w:trHeight w:val="242"/>
        </w:trPr>
        <w:tc>
          <w:tcPr>
            <w:tcW w:w="2640" w:type="dxa"/>
            <w:vAlign w:val="bottom"/>
            <w:gridSpan w:val="2"/>
          </w:tcPr>
          <w:p>
            <w:pPr>
              <w:spacing w:after="0"/>
              <w:rPr>
                <w:sz w:val="20"/>
                <w:szCs w:val="20"/>
                <w:color w:val="auto"/>
              </w:rPr>
            </w:pPr>
            <w:r>
              <w:rPr>
                <w:rFonts w:ascii="Arial" w:cs="Arial" w:eastAsia="Arial" w:hAnsi="Arial"/>
                <w:sz w:val="14"/>
                <w:szCs w:val="14"/>
                <w:b w:val="1"/>
                <w:bCs w:val="1"/>
                <w:color w:val="1A475F"/>
              </w:rPr>
              <w:t>Mandy Berman</w:t>
            </w:r>
          </w:p>
        </w:tc>
        <w:tc>
          <w:tcPr>
            <w:tcW w:w="480" w:type="dxa"/>
            <w:vAlign w:val="bottom"/>
            <w:gridSpan w:val="2"/>
          </w:tcPr>
          <w:p>
            <w:pPr>
              <w:jc w:val="right"/>
              <w:spacing w:after="0"/>
              <w:rPr>
                <w:sz w:val="20"/>
                <w:szCs w:val="20"/>
                <w:color w:val="auto"/>
              </w:rPr>
            </w:pPr>
            <w:r>
              <w:rPr>
                <w:rFonts w:ascii="Arial" w:cs="Arial" w:eastAsia="Arial" w:hAnsi="Arial"/>
                <w:sz w:val="14"/>
                <w:szCs w:val="14"/>
                <w:color w:val="1A475F"/>
              </w:rPr>
              <w:t>2025</w:t>
            </w:r>
          </w:p>
        </w:tc>
        <w:tc>
          <w:tcPr>
            <w:tcW w:w="80" w:type="dxa"/>
            <w:vAlign w:val="bottom"/>
          </w:tcPr>
          <w:p>
            <w:pPr>
              <w:spacing w:after="0"/>
              <w:rPr>
                <w:sz w:val="21"/>
                <w:szCs w:val="21"/>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1A475F"/>
                <w:w w:val="98"/>
              </w:rPr>
              <w:t>430,560</w:t>
            </w:r>
          </w:p>
        </w:tc>
        <w:tc>
          <w:tcPr>
            <w:tcW w:w="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215,280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825,011</w:t>
            </w:r>
          </w:p>
        </w:tc>
        <w:tc>
          <w:tcPr>
            <w:tcW w:w="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275,028</w:t>
            </w:r>
          </w:p>
        </w:tc>
        <w:tc>
          <w:tcPr>
            <w:tcW w:w="80" w:type="dxa"/>
            <w:vAlign w:val="bottom"/>
          </w:tcPr>
          <w:p>
            <w:pPr>
              <w:spacing w:after="0"/>
              <w:rPr>
                <w:sz w:val="21"/>
                <w:szCs w:val="21"/>
                <w:color w:val="auto"/>
              </w:rPr>
            </w:pPr>
          </w:p>
        </w:tc>
        <w:tc>
          <w:tcPr>
            <w:tcW w:w="1340" w:type="dxa"/>
            <w:vAlign w:val="bottom"/>
          </w:tcPr>
          <w:p>
            <w:pPr>
              <w:jc w:val="right"/>
              <w:ind w:right="332"/>
              <w:spacing w:after="0"/>
              <w:rPr>
                <w:sz w:val="20"/>
                <w:szCs w:val="20"/>
                <w:color w:val="auto"/>
              </w:rPr>
            </w:pPr>
            <w:r>
              <w:rPr>
                <w:rFonts w:ascii="Arial" w:cs="Arial" w:eastAsia="Arial" w:hAnsi="Arial"/>
                <w:sz w:val="14"/>
                <w:szCs w:val="14"/>
                <w:color w:val="1A475F"/>
              </w:rPr>
              <w:t>249,725</w:t>
            </w:r>
          </w:p>
        </w:tc>
        <w:tc>
          <w:tcPr>
            <w:tcW w:w="60" w:type="dxa"/>
            <w:vAlign w:val="bottom"/>
          </w:tcPr>
          <w:p>
            <w:pPr>
              <w:spacing w:after="0"/>
              <w:rPr>
                <w:sz w:val="21"/>
                <w:szCs w:val="21"/>
                <w:color w:val="auto"/>
              </w:rPr>
            </w:pPr>
          </w:p>
        </w:tc>
        <w:tc>
          <w:tcPr>
            <w:tcW w:w="1260" w:type="dxa"/>
            <w:vAlign w:val="bottom"/>
          </w:tcPr>
          <w:p>
            <w:pPr>
              <w:jc w:val="right"/>
              <w:ind w:right="332"/>
              <w:spacing w:after="0"/>
              <w:rPr>
                <w:sz w:val="20"/>
                <w:szCs w:val="20"/>
                <w:color w:val="auto"/>
              </w:rPr>
            </w:pPr>
            <w:r>
              <w:rPr>
                <w:rFonts w:ascii="Arial" w:cs="Arial" w:eastAsia="Arial" w:hAnsi="Arial"/>
                <w:sz w:val="14"/>
                <w:szCs w:val="14"/>
                <w:color w:val="1A475F"/>
              </w:rPr>
              <w:t>8,109</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2,003,713</w:t>
            </w: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rPr>
                <w:sz w:val="20"/>
                <w:szCs w:val="20"/>
                <w:color w:val="auto"/>
              </w:rPr>
            </w:pPr>
            <w:r>
              <w:rPr>
                <w:rFonts w:ascii="Arial" w:cs="Arial" w:eastAsia="Arial" w:hAnsi="Arial"/>
                <w:sz w:val="14"/>
                <w:szCs w:val="14"/>
                <w:color w:val="1A475F"/>
              </w:rPr>
              <w:t>Chief Operating Officer, Back-up Care</w:t>
            </w:r>
          </w:p>
        </w:tc>
        <w:tc>
          <w:tcPr>
            <w:tcW w:w="480" w:type="dxa"/>
            <w:vAlign w:val="bottom"/>
            <w:gridSpan w:val="2"/>
          </w:tcPr>
          <w:p>
            <w:pPr>
              <w:jc w:val="right"/>
              <w:spacing w:after="0"/>
              <w:rPr>
                <w:sz w:val="20"/>
                <w:szCs w:val="20"/>
                <w:color w:val="auto"/>
              </w:rPr>
            </w:pPr>
            <w:r>
              <w:rPr>
                <w:rFonts w:ascii="Arial" w:cs="Arial" w:eastAsia="Arial" w:hAnsi="Arial"/>
                <w:sz w:val="14"/>
                <w:szCs w:val="14"/>
                <w:color w:val="1A475F"/>
              </w:rPr>
              <w:t>2024</w:t>
            </w:r>
          </w:p>
        </w:tc>
        <w:tc>
          <w:tcPr>
            <w:tcW w:w="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1A475F"/>
                <w:w w:val="98"/>
              </w:rPr>
              <w:t>414,000</w:t>
            </w:r>
          </w:p>
        </w:tc>
        <w:tc>
          <w:tcPr>
            <w:tcW w:w="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207,000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825,047</w:t>
            </w:r>
          </w:p>
        </w:tc>
        <w:tc>
          <w:tcPr>
            <w:tcW w:w="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274,977</w:t>
            </w:r>
          </w:p>
        </w:tc>
        <w:tc>
          <w:tcPr>
            <w:tcW w:w="80" w:type="dxa"/>
            <w:vAlign w:val="bottom"/>
          </w:tcPr>
          <w:p>
            <w:pPr>
              <w:spacing w:after="0"/>
              <w:rPr>
                <w:sz w:val="14"/>
                <w:szCs w:val="14"/>
                <w:color w:val="auto"/>
              </w:rPr>
            </w:pPr>
          </w:p>
        </w:tc>
        <w:tc>
          <w:tcPr>
            <w:tcW w:w="1340" w:type="dxa"/>
            <w:vAlign w:val="bottom"/>
          </w:tcPr>
          <w:p>
            <w:pPr>
              <w:jc w:val="right"/>
              <w:ind w:right="332"/>
              <w:spacing w:after="0"/>
              <w:rPr>
                <w:sz w:val="20"/>
                <w:szCs w:val="20"/>
                <w:color w:val="auto"/>
              </w:rPr>
            </w:pPr>
            <w:r>
              <w:rPr>
                <w:rFonts w:ascii="Arial" w:cs="Arial" w:eastAsia="Arial" w:hAnsi="Arial"/>
                <w:sz w:val="14"/>
                <w:szCs w:val="14"/>
                <w:color w:val="1A475F"/>
              </w:rPr>
              <w:t>207,000</w:t>
            </w:r>
          </w:p>
        </w:tc>
        <w:tc>
          <w:tcPr>
            <w:tcW w:w="60" w:type="dxa"/>
            <w:vAlign w:val="bottom"/>
          </w:tcPr>
          <w:p>
            <w:pPr>
              <w:spacing w:after="0"/>
              <w:rPr>
                <w:sz w:val="14"/>
                <w:szCs w:val="14"/>
                <w:color w:val="auto"/>
              </w:rPr>
            </w:pPr>
          </w:p>
        </w:tc>
        <w:tc>
          <w:tcPr>
            <w:tcW w:w="1260" w:type="dxa"/>
            <w:vAlign w:val="bottom"/>
          </w:tcPr>
          <w:p>
            <w:pPr>
              <w:jc w:val="right"/>
              <w:ind w:right="332"/>
              <w:spacing w:after="0"/>
              <w:rPr>
                <w:sz w:val="20"/>
                <w:szCs w:val="20"/>
                <w:color w:val="auto"/>
              </w:rPr>
            </w:pPr>
            <w:r>
              <w:rPr>
                <w:rFonts w:ascii="Arial" w:cs="Arial" w:eastAsia="Arial" w:hAnsi="Arial"/>
                <w:sz w:val="14"/>
                <w:szCs w:val="14"/>
                <w:color w:val="1A475F"/>
              </w:rPr>
              <w:t>9,400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1,937,424</w:t>
            </w:r>
          </w:p>
        </w:tc>
        <w:tc>
          <w:tcPr>
            <w:tcW w:w="0" w:type="dxa"/>
            <w:vAlign w:val="bottom"/>
          </w:tcPr>
          <w:p>
            <w:pPr>
              <w:spacing w:after="0"/>
              <w:rPr>
                <w:sz w:val="1"/>
                <w:szCs w:val="1"/>
                <w:color w:val="auto"/>
              </w:rPr>
            </w:pPr>
          </w:p>
        </w:tc>
      </w:tr>
      <w:tr>
        <w:trPr>
          <w:trHeight w:val="184"/>
        </w:trPr>
        <w:tc>
          <w:tcPr>
            <w:tcW w:w="2640" w:type="dxa"/>
            <w:vAlign w:val="bottom"/>
            <w:gridSpan w:val="2"/>
          </w:tcPr>
          <w:p>
            <w:pPr>
              <w:spacing w:after="0"/>
              <w:rPr>
                <w:sz w:val="20"/>
                <w:szCs w:val="20"/>
                <w:color w:val="auto"/>
              </w:rPr>
            </w:pPr>
            <w:r>
              <w:rPr>
                <w:rFonts w:ascii="Arial" w:cs="Arial" w:eastAsia="Arial" w:hAnsi="Arial"/>
                <w:sz w:val="14"/>
                <w:szCs w:val="14"/>
                <w:color w:val="1A475F"/>
              </w:rPr>
              <w:t>and Educational Advisory Services</w:t>
            </w:r>
          </w:p>
        </w:tc>
        <w:tc>
          <w:tcPr>
            <w:tcW w:w="480" w:type="dxa"/>
            <w:vAlign w:val="bottom"/>
            <w:gridSpan w:val="2"/>
          </w:tcPr>
          <w:p>
            <w:pPr>
              <w:jc w:val="right"/>
              <w:spacing w:after="0"/>
              <w:rPr>
                <w:sz w:val="20"/>
                <w:szCs w:val="20"/>
                <w:color w:val="auto"/>
              </w:rPr>
            </w:pPr>
            <w:r>
              <w:rPr>
                <w:rFonts w:ascii="Arial" w:cs="Arial" w:eastAsia="Arial" w:hAnsi="Arial"/>
                <w:sz w:val="14"/>
                <w:szCs w:val="14"/>
                <w:color w:val="1A475F"/>
              </w:rPr>
              <w:t>2023</w:t>
            </w:r>
          </w:p>
        </w:tc>
        <w:tc>
          <w:tcPr>
            <w:tcW w:w="8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1A475F"/>
                <w:w w:val="98"/>
              </w:rPr>
              <w:t>344,000</w:t>
            </w:r>
          </w:p>
        </w:tc>
        <w:tc>
          <w:tcPr>
            <w:tcW w:w="6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172,000</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824,978</w:t>
            </w:r>
          </w:p>
        </w:tc>
        <w:tc>
          <w:tcPr>
            <w:tcW w:w="6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1A475F"/>
                <w:w w:val="94"/>
              </w:rPr>
              <w:t>274,995</w:t>
            </w:r>
          </w:p>
        </w:tc>
        <w:tc>
          <w:tcPr>
            <w:tcW w:w="80" w:type="dxa"/>
            <w:vAlign w:val="bottom"/>
          </w:tcPr>
          <w:p>
            <w:pPr>
              <w:spacing w:after="0"/>
              <w:rPr>
                <w:sz w:val="15"/>
                <w:szCs w:val="15"/>
                <w:color w:val="auto"/>
              </w:rPr>
            </w:pPr>
          </w:p>
        </w:tc>
        <w:tc>
          <w:tcPr>
            <w:tcW w:w="1340" w:type="dxa"/>
            <w:vAlign w:val="bottom"/>
          </w:tcPr>
          <w:p>
            <w:pPr>
              <w:jc w:val="right"/>
              <w:ind w:right="332"/>
              <w:spacing w:after="0"/>
              <w:rPr>
                <w:sz w:val="20"/>
                <w:szCs w:val="20"/>
                <w:color w:val="auto"/>
              </w:rPr>
            </w:pPr>
            <w:r>
              <w:rPr>
                <w:rFonts w:ascii="Arial" w:cs="Arial" w:eastAsia="Arial" w:hAnsi="Arial"/>
                <w:sz w:val="14"/>
                <w:szCs w:val="14"/>
                <w:color w:val="1A475F"/>
              </w:rPr>
              <w:t>109,392</w:t>
            </w:r>
          </w:p>
        </w:tc>
        <w:tc>
          <w:tcPr>
            <w:tcW w:w="60" w:type="dxa"/>
            <w:vAlign w:val="bottom"/>
          </w:tcPr>
          <w:p>
            <w:pPr>
              <w:spacing w:after="0"/>
              <w:rPr>
                <w:sz w:val="15"/>
                <w:szCs w:val="15"/>
                <w:color w:val="auto"/>
              </w:rPr>
            </w:pPr>
          </w:p>
        </w:tc>
        <w:tc>
          <w:tcPr>
            <w:tcW w:w="1260" w:type="dxa"/>
            <w:vAlign w:val="bottom"/>
          </w:tcPr>
          <w:p>
            <w:pPr>
              <w:jc w:val="right"/>
              <w:ind w:right="332"/>
              <w:spacing w:after="0"/>
              <w:rPr>
                <w:sz w:val="20"/>
                <w:szCs w:val="20"/>
                <w:color w:val="auto"/>
              </w:rPr>
            </w:pPr>
            <w:r>
              <w:rPr>
                <w:rFonts w:ascii="Arial" w:cs="Arial" w:eastAsia="Arial" w:hAnsi="Arial"/>
                <w:sz w:val="14"/>
                <w:szCs w:val="14"/>
                <w:color w:val="1A475F"/>
              </w:rPr>
              <w:t>5,365</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A475F"/>
              </w:rPr>
              <w:t>1,730,730</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48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shd w:val="clear" w:color="auto" w:fill="CCEEFF"/>
          </w:tcPr>
          <w:p>
            <w:pPr>
              <w:spacing w:after="0" w:line="162" w:lineRule="exact"/>
              <w:rPr>
                <w:sz w:val="20"/>
                <w:szCs w:val="20"/>
                <w:color w:val="auto"/>
              </w:rPr>
            </w:pPr>
            <w:r>
              <w:rPr>
                <w:rFonts w:ascii="Arial" w:cs="Arial" w:eastAsia="Arial" w:hAnsi="Arial"/>
                <w:sz w:val="13"/>
                <w:szCs w:val="13"/>
                <w:b w:val="1"/>
                <w:bCs w:val="1"/>
                <w:color w:val="1A475F"/>
              </w:rPr>
              <w:t>Rosamund Marshall</w:t>
            </w:r>
            <w:r>
              <w:rPr>
                <w:rFonts w:ascii="Arial" w:cs="Arial" w:eastAsia="Arial" w:hAnsi="Arial"/>
                <w:sz w:val="18"/>
                <w:szCs w:val="18"/>
                <w:b w:val="1"/>
                <w:bCs w:val="1"/>
                <w:color w:val="1A475F"/>
                <w:vertAlign w:val="superscript"/>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A475F"/>
              </w:rPr>
              <w:t>2025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1A475F"/>
                <w:w w:val="98"/>
              </w:rPr>
              <w:t>454,017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170,256</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562,507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187,533</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197,497</w:t>
            </w: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44,012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1,615,822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1A475F"/>
              </w:rPr>
              <w:t>Managing Director, International</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2024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1A475F"/>
                <w:w w:val="98"/>
              </w:rPr>
              <w:t>423,240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158,715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562,522</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187,494</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158,715</w:t>
            </w: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38,979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1,529,665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2023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1A475F"/>
                <w:w w:val="98"/>
              </w:rPr>
              <w:t>397,888</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149,208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562,464</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1A475F"/>
                <w:w w:val="94"/>
              </w:rPr>
              <w:t>187,509</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94,896</w:t>
            </w: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1A475F"/>
              </w:rPr>
              <w:t>38,456</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1,430,421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73660</wp:posOffset>
            </wp:positionV>
            <wp:extent cx="6540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4" w:lineRule="exact"/>
        <w:rPr>
          <w:sz w:val="20"/>
          <w:szCs w:val="20"/>
          <w:color w:val="auto"/>
        </w:rPr>
      </w:pPr>
    </w:p>
    <w:p>
      <w:pPr>
        <w:ind w:left="1280" w:right="120" w:hanging="379"/>
        <w:spacing w:after="0" w:line="252" w:lineRule="auto"/>
        <w:tabs>
          <w:tab w:leader="none" w:pos="1280" w:val="left"/>
        </w:tabs>
        <w:numPr>
          <w:ilvl w:val="0"/>
          <w:numId w:val="55"/>
        </w:numPr>
        <w:rPr>
          <w:rFonts w:ascii="Arial" w:cs="Arial" w:eastAsia="Arial" w:hAnsi="Arial"/>
          <w:sz w:val="12"/>
          <w:szCs w:val="12"/>
          <w:color w:val="1A475F"/>
        </w:rPr>
      </w:pPr>
      <w:r>
        <w:rPr>
          <w:rFonts w:ascii="Arial" w:cs="Arial" w:eastAsia="Arial" w:hAnsi="Arial"/>
          <w:sz w:val="12"/>
          <w:szCs w:val="12"/>
          <w:color w:val="1A475F"/>
        </w:rPr>
        <w:t>Amounts reported for Ms. Marshall are converted from British pounds to U.S. dollars using the following average exchange rates: 1.3181 U.S. dollars per 1.00 British pound for 2025; 1.2779 U.S. dollars per 1.00 British pound for 2024; and 1.2434 U.S. dollars per 1.00 British pound for 2023.</w:t>
      </w:r>
    </w:p>
    <w:p>
      <w:pPr>
        <w:ind w:left="1280" w:right="520" w:hanging="379"/>
        <w:spacing w:after="0" w:line="241" w:lineRule="auto"/>
        <w:tabs>
          <w:tab w:leader="none" w:pos="1280" w:val="left"/>
        </w:tabs>
        <w:numPr>
          <w:ilvl w:val="0"/>
          <w:numId w:val="56"/>
        </w:numPr>
        <w:rPr>
          <w:rFonts w:ascii="Arial" w:cs="Arial" w:eastAsia="Arial" w:hAnsi="Arial"/>
          <w:sz w:val="12"/>
          <w:szCs w:val="12"/>
          <w:color w:val="1A475F"/>
        </w:rPr>
      </w:pPr>
      <w:r>
        <w:rPr>
          <w:rFonts w:ascii="Arial" w:cs="Arial" w:eastAsia="Arial" w:hAnsi="Arial"/>
          <w:sz w:val="12"/>
          <w:szCs w:val="12"/>
          <w:color w:val="1A475F"/>
        </w:rPr>
        <w:t>Salary amounts are not reduced to reflect amounts contributed by the NEO to the 401(k) Plan, the NQDC Plan, or the cash payment to Ms. Marshall in lieu of contributions to the U.K. Group Pension Plan. Ms. Berman’s salary and bonus for 2023 reflect a pro-rated amount from her date of hire.</w:t>
      </w:r>
    </w:p>
    <w:p>
      <w:pPr>
        <w:ind w:left="1280" w:right="60" w:hanging="379"/>
        <w:spacing w:after="0" w:line="241" w:lineRule="auto"/>
        <w:tabs>
          <w:tab w:leader="none" w:pos="1280" w:val="left"/>
        </w:tabs>
        <w:numPr>
          <w:ilvl w:val="0"/>
          <w:numId w:val="56"/>
        </w:numPr>
        <w:rPr>
          <w:rFonts w:ascii="Arial" w:cs="Arial" w:eastAsia="Arial" w:hAnsi="Arial"/>
          <w:sz w:val="12"/>
          <w:szCs w:val="12"/>
          <w:color w:val="1A475F"/>
        </w:rPr>
      </w:pPr>
      <w:r>
        <w:rPr>
          <w:rFonts w:ascii="Arial" w:cs="Arial" w:eastAsia="Arial" w:hAnsi="Arial"/>
          <w:sz w:val="12"/>
          <w:szCs w:val="12"/>
          <w:color w:val="1A475F"/>
        </w:rPr>
        <w:t>Amounts shown reflect the cash amounts paid to our NEOs under our annual cash bonus plan for each fiscal year that was earned based on individual performance, which is described in “Elements of Executive Compensation—Annual Cash Bonus” above. These payments are made in the year following the fiscal year to which the payment relates.</w:t>
      </w:r>
    </w:p>
    <w:p>
      <w:pPr>
        <w:spacing w:after="0" w:line="1" w:lineRule="exact"/>
        <w:rPr>
          <w:rFonts w:ascii="Arial" w:cs="Arial" w:eastAsia="Arial" w:hAnsi="Arial"/>
          <w:sz w:val="12"/>
          <w:szCs w:val="12"/>
          <w:color w:val="1A475F"/>
        </w:rPr>
      </w:pPr>
    </w:p>
    <w:p>
      <w:pPr>
        <w:ind w:left="1280" w:right="40" w:hanging="379"/>
        <w:spacing w:after="0" w:line="246" w:lineRule="auto"/>
        <w:tabs>
          <w:tab w:leader="none" w:pos="1280" w:val="left"/>
        </w:tabs>
        <w:numPr>
          <w:ilvl w:val="0"/>
          <w:numId w:val="56"/>
        </w:numPr>
        <w:rPr>
          <w:rFonts w:ascii="Arial" w:cs="Arial" w:eastAsia="Arial" w:hAnsi="Arial"/>
          <w:sz w:val="12"/>
          <w:szCs w:val="12"/>
          <w:color w:val="1A475F"/>
        </w:rPr>
      </w:pPr>
      <w:r>
        <w:rPr>
          <w:rFonts w:ascii="Arial" w:cs="Arial" w:eastAsia="Arial" w:hAnsi="Arial"/>
          <w:sz w:val="12"/>
          <w:szCs w:val="12"/>
          <w:color w:val="1A475F"/>
        </w:rPr>
        <w:t>The amounts included in the “Stock Awards” column represent (1) the aggregate grant date fair value of RSUs and (2) the aggregate grant date fair value of PRSUs. The values for all “Stock Awards” have been determined in accordance with FASB ASC Topic 718 and do not contemplate forfeitures by the respective executives. Pursuant to SEC rules, the amounts shown for awards subject to performance conditions are based on the probable outcome as of the date of grant and are shown at target level attainment, excluding the impact of estimated forfeitures. The table below shows the value of the 2025 PRSUs at the grant date assuming a maximum level of attainment as compared to the grant date fair value assuming target level of attainment as reflected in the “Summary Compensation Table.”</w:t>
      </w:r>
    </w:p>
    <w:p>
      <w:pPr>
        <w:spacing w:after="0" w:line="176" w:lineRule="exact"/>
        <w:rPr>
          <w:sz w:val="20"/>
          <w:szCs w:val="20"/>
          <w:color w:val="auto"/>
        </w:rPr>
      </w:pPr>
    </w:p>
    <w:tbl>
      <w:tblPr>
        <w:tblLayout w:type="fixed"/>
        <w:tblInd w:w="2420" w:type="dxa"/>
        <w:tblCellMar>
          <w:top w:w="0" w:type="dxa"/>
          <w:left w:w="0" w:type="dxa"/>
          <w:bottom w:w="0" w:type="dxa"/>
          <w:right w:w="0" w:type="dxa"/>
        </w:tblCellMar>
      </w:tblPr>
      <w:tr>
        <w:trPr>
          <w:trHeight w:val="131"/>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1A475F"/>
              </w:rPr>
              <w:t>2025 PRSUs</w:t>
            </w:r>
          </w:p>
        </w:tc>
        <w:tc>
          <w:tcPr>
            <w:tcW w:w="0" w:type="dxa"/>
            <w:vAlign w:val="bottom"/>
          </w:tcPr>
          <w:p>
            <w:pPr>
              <w:spacing w:after="0"/>
              <w:rPr>
                <w:sz w:val="1"/>
                <w:szCs w:val="1"/>
                <w:color w:val="auto"/>
              </w:rPr>
            </w:pPr>
          </w:p>
        </w:tc>
      </w:tr>
      <w:tr>
        <w:trPr>
          <w:trHeight w:val="92"/>
        </w:trPr>
        <w:tc>
          <w:tcPr>
            <w:tcW w:w="3040" w:type="dxa"/>
            <w:vAlign w:val="bottom"/>
            <w:vMerge w:val="restart"/>
          </w:tcPr>
          <w:p>
            <w:pPr>
              <w:spacing w:after="0"/>
              <w:rPr>
                <w:sz w:val="20"/>
                <w:szCs w:val="20"/>
                <w:color w:val="auto"/>
              </w:rPr>
            </w:pPr>
            <w:r>
              <w:rPr>
                <w:rFonts w:ascii="Arial" w:cs="Arial" w:eastAsia="Arial" w:hAnsi="Arial"/>
                <w:sz w:val="12"/>
                <w:szCs w:val="12"/>
                <w:b w:val="1"/>
                <w:bCs w:val="1"/>
                <w:color w:val="1A475F"/>
              </w:rPr>
              <w:t>Name</w:t>
            </w:r>
          </w:p>
        </w:tc>
        <w:tc>
          <w:tcPr>
            <w:tcW w:w="660" w:type="dxa"/>
            <w:vAlign w:val="bottom"/>
          </w:tcPr>
          <w:p>
            <w:pPr>
              <w:spacing w:after="0"/>
              <w:rPr>
                <w:sz w:val="8"/>
                <w:szCs w:val="8"/>
                <w:color w:val="auto"/>
              </w:rPr>
            </w:pPr>
          </w:p>
        </w:tc>
        <w:tc>
          <w:tcPr>
            <w:tcW w:w="940" w:type="dxa"/>
            <w:vAlign w:val="bottom"/>
          </w:tcPr>
          <w:p>
            <w:pPr>
              <w:jc w:val="center"/>
              <w:spacing w:after="0" w:line="92" w:lineRule="exact"/>
              <w:rPr>
                <w:sz w:val="20"/>
                <w:szCs w:val="20"/>
                <w:color w:val="auto"/>
              </w:rPr>
            </w:pPr>
            <w:r>
              <w:rPr>
                <w:rFonts w:ascii="Arial" w:cs="Arial" w:eastAsia="Arial" w:hAnsi="Arial"/>
                <w:sz w:val="10"/>
                <w:szCs w:val="10"/>
                <w:b w:val="1"/>
                <w:bCs w:val="1"/>
                <w:color w:val="1A475F"/>
              </w:rPr>
              <w:t>($) at Target Level</w:t>
            </w:r>
          </w:p>
        </w:tc>
        <w:tc>
          <w:tcPr>
            <w:tcW w:w="1780" w:type="dxa"/>
            <w:vAlign w:val="bottom"/>
            <w:gridSpan w:val="2"/>
          </w:tcPr>
          <w:p>
            <w:pPr>
              <w:jc w:val="center"/>
              <w:ind w:left="607"/>
              <w:spacing w:after="0" w:line="92" w:lineRule="exact"/>
              <w:rPr>
                <w:sz w:val="20"/>
                <w:szCs w:val="20"/>
                <w:color w:val="auto"/>
              </w:rPr>
            </w:pPr>
            <w:r>
              <w:rPr>
                <w:rFonts w:ascii="Arial" w:cs="Arial" w:eastAsia="Arial" w:hAnsi="Arial"/>
                <w:sz w:val="10"/>
                <w:szCs w:val="10"/>
                <w:b w:val="1"/>
                <w:bCs w:val="1"/>
                <w:color w:val="1A475F"/>
              </w:rPr>
              <w:t>($) at Maximum Level</w:t>
            </w:r>
          </w:p>
        </w:tc>
        <w:tc>
          <w:tcPr>
            <w:tcW w:w="0" w:type="dxa"/>
            <w:vAlign w:val="bottom"/>
          </w:tcPr>
          <w:p>
            <w:pPr>
              <w:spacing w:after="0"/>
              <w:rPr>
                <w:sz w:val="1"/>
                <w:szCs w:val="1"/>
                <w:color w:val="auto"/>
              </w:rPr>
            </w:pPr>
          </w:p>
        </w:tc>
      </w:tr>
      <w:tr>
        <w:trPr>
          <w:trHeight w:val="131"/>
        </w:trPr>
        <w:tc>
          <w:tcPr>
            <w:tcW w:w="304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A475F"/>
                <w:w w:val="97"/>
              </w:rPr>
              <w:t>Attainment</w:t>
            </w:r>
          </w:p>
        </w:tc>
        <w:tc>
          <w:tcPr>
            <w:tcW w:w="6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A475F"/>
                <w:w w:val="97"/>
              </w:rPr>
              <w:t>Attainment</w:t>
            </w:r>
          </w:p>
        </w:tc>
        <w:tc>
          <w:tcPr>
            <w:tcW w:w="0" w:type="dxa"/>
            <w:vAlign w:val="bottom"/>
          </w:tcPr>
          <w:p>
            <w:pPr>
              <w:spacing w:after="0"/>
              <w:rPr>
                <w:sz w:val="1"/>
                <w:szCs w:val="1"/>
                <w:color w:val="auto"/>
              </w:rPr>
            </w:pPr>
          </w:p>
        </w:tc>
      </w:tr>
      <w:tr>
        <w:trPr>
          <w:trHeight w:val="107"/>
        </w:trPr>
        <w:tc>
          <w:tcPr>
            <w:tcW w:w="3040" w:type="dxa"/>
            <w:vAlign w:val="bottom"/>
            <w:shd w:val="clear" w:color="auto" w:fill="CCEEFF"/>
          </w:tcPr>
          <w:p>
            <w:pPr>
              <w:spacing w:after="0" w:line="107" w:lineRule="exact"/>
              <w:rPr>
                <w:sz w:val="20"/>
                <w:szCs w:val="20"/>
                <w:color w:val="auto"/>
              </w:rPr>
            </w:pPr>
            <w:r>
              <w:rPr>
                <w:rFonts w:ascii="Arial" w:cs="Arial" w:eastAsia="Arial" w:hAnsi="Arial"/>
                <w:sz w:val="11"/>
                <w:szCs w:val="11"/>
                <w:color w:val="1A475F"/>
              </w:rPr>
              <w:t>Stephen H. Kramer</w:t>
            </w:r>
          </w:p>
        </w:tc>
        <w:tc>
          <w:tcPr>
            <w:tcW w:w="660" w:type="dxa"/>
            <w:vAlign w:val="bottom"/>
            <w:shd w:val="clear" w:color="auto" w:fill="CCEEFF"/>
          </w:tcPr>
          <w:p>
            <w:pPr>
              <w:spacing w:after="0"/>
              <w:rPr>
                <w:sz w:val="9"/>
                <w:szCs w:val="9"/>
                <w:color w:val="auto"/>
              </w:rPr>
            </w:pPr>
          </w:p>
        </w:tc>
        <w:tc>
          <w:tcPr>
            <w:tcW w:w="940" w:type="dxa"/>
            <w:vAlign w:val="bottom"/>
            <w:shd w:val="clear" w:color="auto" w:fill="CCEEFF"/>
          </w:tcPr>
          <w:p>
            <w:pPr>
              <w:jc w:val="center"/>
              <w:spacing w:after="0" w:line="107" w:lineRule="exact"/>
              <w:rPr>
                <w:sz w:val="20"/>
                <w:szCs w:val="20"/>
                <w:color w:val="auto"/>
              </w:rPr>
            </w:pPr>
            <w:r>
              <w:rPr>
                <w:rFonts w:ascii="Arial" w:cs="Arial" w:eastAsia="Arial" w:hAnsi="Arial"/>
                <w:sz w:val="11"/>
                <w:szCs w:val="11"/>
                <w:color w:val="1A475F"/>
                <w:w w:val="95"/>
              </w:rPr>
              <w:t>875,011</w:t>
            </w:r>
          </w:p>
        </w:tc>
        <w:tc>
          <w:tcPr>
            <w:tcW w:w="680" w:type="dxa"/>
            <w:vAlign w:val="bottom"/>
            <w:shd w:val="clear" w:color="auto" w:fill="CCEEFF"/>
          </w:tcPr>
          <w:p>
            <w:pPr>
              <w:spacing w:after="0"/>
              <w:rPr>
                <w:sz w:val="9"/>
                <w:szCs w:val="9"/>
                <w:color w:val="auto"/>
              </w:rPr>
            </w:pPr>
          </w:p>
        </w:tc>
        <w:tc>
          <w:tcPr>
            <w:tcW w:w="1100" w:type="dxa"/>
            <w:vAlign w:val="bottom"/>
            <w:shd w:val="clear" w:color="auto" w:fill="CCEEFF"/>
          </w:tcPr>
          <w:p>
            <w:pPr>
              <w:jc w:val="center"/>
              <w:spacing w:after="0" w:line="107" w:lineRule="exact"/>
              <w:rPr>
                <w:sz w:val="20"/>
                <w:szCs w:val="20"/>
                <w:color w:val="auto"/>
              </w:rPr>
            </w:pPr>
            <w:r>
              <w:rPr>
                <w:rFonts w:ascii="Arial" w:cs="Arial" w:eastAsia="Arial" w:hAnsi="Arial"/>
                <w:sz w:val="11"/>
                <w:szCs w:val="11"/>
                <w:color w:val="1A475F"/>
                <w:w w:val="97"/>
              </w:rPr>
              <w:t>1,750,022</w:t>
            </w:r>
          </w:p>
        </w:tc>
        <w:tc>
          <w:tcPr>
            <w:tcW w:w="0" w:type="dxa"/>
            <w:vAlign w:val="bottom"/>
          </w:tcPr>
          <w:p>
            <w:pPr>
              <w:spacing w:after="0"/>
              <w:rPr>
                <w:sz w:val="1"/>
                <w:szCs w:val="1"/>
                <w:color w:val="auto"/>
              </w:rPr>
            </w:pPr>
          </w:p>
        </w:tc>
      </w:tr>
      <w:tr>
        <w:trPr>
          <w:trHeight w:val="116"/>
        </w:trPr>
        <w:tc>
          <w:tcPr>
            <w:tcW w:w="3040" w:type="dxa"/>
            <w:vAlign w:val="bottom"/>
          </w:tcPr>
          <w:p>
            <w:pPr>
              <w:spacing w:after="0" w:line="116" w:lineRule="exact"/>
              <w:rPr>
                <w:sz w:val="20"/>
                <w:szCs w:val="20"/>
                <w:color w:val="auto"/>
              </w:rPr>
            </w:pPr>
            <w:r>
              <w:rPr>
                <w:rFonts w:ascii="Arial" w:cs="Arial" w:eastAsia="Arial" w:hAnsi="Arial"/>
                <w:sz w:val="11"/>
                <w:szCs w:val="11"/>
                <w:color w:val="1A475F"/>
              </w:rPr>
              <w:t>Elizabeth J. Boland</w:t>
            </w:r>
          </w:p>
        </w:tc>
        <w:tc>
          <w:tcPr>
            <w:tcW w:w="1600" w:type="dxa"/>
            <w:vAlign w:val="bottom"/>
            <w:gridSpan w:val="2"/>
          </w:tcPr>
          <w:p>
            <w:pPr>
              <w:jc w:val="center"/>
              <w:ind w:left="586"/>
              <w:spacing w:after="0" w:line="116" w:lineRule="exact"/>
              <w:rPr>
                <w:sz w:val="20"/>
                <w:szCs w:val="20"/>
                <w:color w:val="auto"/>
              </w:rPr>
            </w:pPr>
            <w:r>
              <w:rPr>
                <w:rFonts w:ascii="Arial" w:cs="Arial" w:eastAsia="Arial" w:hAnsi="Arial"/>
                <w:sz w:val="11"/>
                <w:szCs w:val="11"/>
                <w:color w:val="1A475F"/>
              </w:rPr>
              <w:t>275,004</w:t>
            </w:r>
          </w:p>
        </w:tc>
        <w:tc>
          <w:tcPr>
            <w:tcW w:w="1780" w:type="dxa"/>
            <w:vAlign w:val="bottom"/>
            <w:gridSpan w:val="2"/>
          </w:tcPr>
          <w:p>
            <w:pPr>
              <w:jc w:val="center"/>
              <w:ind w:left="607"/>
              <w:spacing w:after="0" w:line="116" w:lineRule="exact"/>
              <w:rPr>
                <w:sz w:val="20"/>
                <w:szCs w:val="20"/>
                <w:color w:val="auto"/>
              </w:rPr>
            </w:pPr>
            <w:r>
              <w:rPr>
                <w:rFonts w:ascii="Arial" w:cs="Arial" w:eastAsia="Arial" w:hAnsi="Arial"/>
                <w:sz w:val="11"/>
                <w:szCs w:val="11"/>
                <w:color w:val="1A475F"/>
              </w:rPr>
              <w:t>550,007</w:t>
            </w:r>
          </w:p>
        </w:tc>
        <w:tc>
          <w:tcPr>
            <w:tcW w:w="0" w:type="dxa"/>
            <w:vAlign w:val="bottom"/>
          </w:tcPr>
          <w:p>
            <w:pPr>
              <w:spacing w:after="0"/>
              <w:rPr>
                <w:sz w:val="1"/>
                <w:szCs w:val="1"/>
                <w:color w:val="auto"/>
              </w:rPr>
            </w:pPr>
          </w:p>
        </w:tc>
      </w:tr>
      <w:tr>
        <w:trPr>
          <w:trHeight w:val="116"/>
        </w:trPr>
        <w:tc>
          <w:tcPr>
            <w:tcW w:w="3040" w:type="dxa"/>
            <w:vAlign w:val="bottom"/>
            <w:shd w:val="clear" w:color="auto" w:fill="CCEEFF"/>
          </w:tcPr>
          <w:p>
            <w:pPr>
              <w:spacing w:after="0" w:line="116" w:lineRule="exact"/>
              <w:rPr>
                <w:sz w:val="20"/>
                <w:szCs w:val="20"/>
                <w:color w:val="auto"/>
              </w:rPr>
            </w:pPr>
            <w:r>
              <w:rPr>
                <w:rFonts w:ascii="Arial" w:cs="Arial" w:eastAsia="Arial" w:hAnsi="Arial"/>
                <w:sz w:val="11"/>
                <w:szCs w:val="11"/>
                <w:color w:val="1A475F"/>
              </w:rPr>
              <w:t>Mary Lou Burke Afonso</w:t>
            </w:r>
          </w:p>
        </w:tc>
        <w:tc>
          <w:tcPr>
            <w:tcW w:w="1600" w:type="dxa"/>
            <w:vAlign w:val="bottom"/>
            <w:gridSpan w:val="2"/>
            <w:shd w:val="clear" w:color="auto" w:fill="CCEEFF"/>
          </w:tcPr>
          <w:p>
            <w:pPr>
              <w:jc w:val="center"/>
              <w:ind w:left="586"/>
              <w:spacing w:after="0" w:line="116" w:lineRule="exact"/>
              <w:rPr>
                <w:sz w:val="20"/>
                <w:szCs w:val="20"/>
                <w:color w:val="auto"/>
              </w:rPr>
            </w:pPr>
            <w:r>
              <w:rPr>
                <w:rFonts w:ascii="Arial" w:cs="Arial" w:eastAsia="Arial" w:hAnsi="Arial"/>
                <w:sz w:val="11"/>
                <w:szCs w:val="11"/>
                <w:color w:val="1A475F"/>
              </w:rPr>
              <w:t>275,004</w:t>
            </w:r>
          </w:p>
        </w:tc>
        <w:tc>
          <w:tcPr>
            <w:tcW w:w="1780" w:type="dxa"/>
            <w:vAlign w:val="bottom"/>
            <w:gridSpan w:val="2"/>
            <w:shd w:val="clear" w:color="auto" w:fill="CCEEFF"/>
          </w:tcPr>
          <w:p>
            <w:pPr>
              <w:jc w:val="center"/>
              <w:ind w:left="607"/>
              <w:spacing w:after="0" w:line="116" w:lineRule="exact"/>
              <w:rPr>
                <w:sz w:val="20"/>
                <w:szCs w:val="20"/>
                <w:color w:val="auto"/>
              </w:rPr>
            </w:pPr>
            <w:r>
              <w:rPr>
                <w:rFonts w:ascii="Arial" w:cs="Arial" w:eastAsia="Arial" w:hAnsi="Arial"/>
                <w:sz w:val="11"/>
                <w:szCs w:val="11"/>
                <w:color w:val="1A475F"/>
              </w:rPr>
              <w:t>550,007</w:t>
            </w:r>
          </w:p>
        </w:tc>
        <w:tc>
          <w:tcPr>
            <w:tcW w:w="0" w:type="dxa"/>
            <w:vAlign w:val="bottom"/>
          </w:tcPr>
          <w:p>
            <w:pPr>
              <w:spacing w:after="0"/>
              <w:rPr>
                <w:sz w:val="1"/>
                <w:szCs w:val="1"/>
                <w:color w:val="auto"/>
              </w:rPr>
            </w:pPr>
          </w:p>
        </w:tc>
      </w:tr>
      <w:tr>
        <w:trPr>
          <w:trHeight w:val="116"/>
        </w:trPr>
        <w:tc>
          <w:tcPr>
            <w:tcW w:w="3040" w:type="dxa"/>
            <w:vAlign w:val="bottom"/>
          </w:tcPr>
          <w:p>
            <w:pPr>
              <w:spacing w:after="0" w:line="116" w:lineRule="exact"/>
              <w:rPr>
                <w:sz w:val="20"/>
                <w:szCs w:val="20"/>
                <w:color w:val="auto"/>
              </w:rPr>
            </w:pPr>
            <w:r>
              <w:rPr>
                <w:rFonts w:ascii="Arial" w:cs="Arial" w:eastAsia="Arial" w:hAnsi="Arial"/>
                <w:sz w:val="11"/>
                <w:szCs w:val="11"/>
                <w:color w:val="1A475F"/>
              </w:rPr>
              <w:t>Mandy Berman</w:t>
            </w:r>
          </w:p>
        </w:tc>
        <w:tc>
          <w:tcPr>
            <w:tcW w:w="1600" w:type="dxa"/>
            <w:vAlign w:val="bottom"/>
            <w:gridSpan w:val="2"/>
          </w:tcPr>
          <w:p>
            <w:pPr>
              <w:jc w:val="center"/>
              <w:ind w:left="586"/>
              <w:spacing w:after="0" w:line="116" w:lineRule="exact"/>
              <w:rPr>
                <w:sz w:val="20"/>
                <w:szCs w:val="20"/>
                <w:color w:val="auto"/>
              </w:rPr>
            </w:pPr>
            <w:r>
              <w:rPr>
                <w:rFonts w:ascii="Arial" w:cs="Arial" w:eastAsia="Arial" w:hAnsi="Arial"/>
                <w:sz w:val="11"/>
                <w:szCs w:val="11"/>
                <w:color w:val="1A475F"/>
              </w:rPr>
              <w:t>275,004</w:t>
            </w:r>
          </w:p>
        </w:tc>
        <w:tc>
          <w:tcPr>
            <w:tcW w:w="1780" w:type="dxa"/>
            <w:vAlign w:val="bottom"/>
            <w:gridSpan w:val="2"/>
          </w:tcPr>
          <w:p>
            <w:pPr>
              <w:jc w:val="center"/>
              <w:ind w:left="607"/>
              <w:spacing w:after="0" w:line="116" w:lineRule="exact"/>
              <w:rPr>
                <w:sz w:val="20"/>
                <w:szCs w:val="20"/>
                <w:color w:val="auto"/>
              </w:rPr>
            </w:pPr>
            <w:r>
              <w:rPr>
                <w:rFonts w:ascii="Arial" w:cs="Arial" w:eastAsia="Arial" w:hAnsi="Arial"/>
                <w:sz w:val="11"/>
                <w:szCs w:val="11"/>
                <w:color w:val="1A475F"/>
              </w:rPr>
              <w:t>550,007</w:t>
            </w:r>
          </w:p>
        </w:tc>
        <w:tc>
          <w:tcPr>
            <w:tcW w:w="0" w:type="dxa"/>
            <w:vAlign w:val="bottom"/>
          </w:tcPr>
          <w:p>
            <w:pPr>
              <w:spacing w:after="0"/>
              <w:rPr>
                <w:sz w:val="1"/>
                <w:szCs w:val="1"/>
                <w:color w:val="auto"/>
              </w:rPr>
            </w:pPr>
          </w:p>
        </w:tc>
      </w:tr>
      <w:tr>
        <w:trPr>
          <w:trHeight w:val="116"/>
        </w:trPr>
        <w:tc>
          <w:tcPr>
            <w:tcW w:w="3040" w:type="dxa"/>
            <w:vAlign w:val="bottom"/>
            <w:shd w:val="clear" w:color="auto" w:fill="CCEEFF"/>
          </w:tcPr>
          <w:p>
            <w:pPr>
              <w:spacing w:after="0" w:line="116" w:lineRule="exact"/>
              <w:rPr>
                <w:sz w:val="20"/>
                <w:szCs w:val="20"/>
                <w:color w:val="auto"/>
              </w:rPr>
            </w:pPr>
            <w:r>
              <w:rPr>
                <w:rFonts w:ascii="Arial" w:cs="Arial" w:eastAsia="Arial" w:hAnsi="Arial"/>
                <w:sz w:val="11"/>
                <w:szCs w:val="11"/>
                <w:color w:val="1A475F"/>
              </w:rPr>
              <w:t>Rosamund Marshall</w:t>
            </w:r>
          </w:p>
        </w:tc>
        <w:tc>
          <w:tcPr>
            <w:tcW w:w="1600" w:type="dxa"/>
            <w:vAlign w:val="bottom"/>
            <w:gridSpan w:val="2"/>
            <w:shd w:val="clear" w:color="auto" w:fill="CCEEFF"/>
          </w:tcPr>
          <w:p>
            <w:pPr>
              <w:jc w:val="center"/>
              <w:ind w:left="586"/>
              <w:spacing w:after="0" w:line="116" w:lineRule="exact"/>
              <w:rPr>
                <w:sz w:val="20"/>
                <w:szCs w:val="20"/>
                <w:color w:val="auto"/>
              </w:rPr>
            </w:pPr>
            <w:r>
              <w:rPr>
                <w:rFonts w:ascii="Arial" w:cs="Arial" w:eastAsia="Arial" w:hAnsi="Arial"/>
                <w:sz w:val="11"/>
                <w:szCs w:val="11"/>
                <w:color w:val="1A475F"/>
              </w:rPr>
              <w:t>187,502</w:t>
            </w:r>
          </w:p>
        </w:tc>
        <w:tc>
          <w:tcPr>
            <w:tcW w:w="1780" w:type="dxa"/>
            <w:vAlign w:val="bottom"/>
            <w:gridSpan w:val="2"/>
            <w:shd w:val="clear" w:color="auto" w:fill="CCEEFF"/>
          </w:tcPr>
          <w:p>
            <w:pPr>
              <w:jc w:val="center"/>
              <w:ind w:left="607"/>
              <w:spacing w:after="0" w:line="116" w:lineRule="exact"/>
              <w:rPr>
                <w:sz w:val="20"/>
                <w:szCs w:val="20"/>
                <w:color w:val="auto"/>
              </w:rPr>
            </w:pPr>
            <w:r>
              <w:rPr>
                <w:rFonts w:ascii="Arial" w:cs="Arial" w:eastAsia="Arial" w:hAnsi="Arial"/>
                <w:sz w:val="11"/>
                <w:szCs w:val="11"/>
                <w:color w:val="1A475F"/>
              </w:rPr>
              <w:t>375,005</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280" w:hanging="379"/>
        <w:spacing w:after="0"/>
        <w:tabs>
          <w:tab w:leader="none" w:pos="1280" w:val="left"/>
        </w:tabs>
        <w:numPr>
          <w:ilvl w:val="0"/>
          <w:numId w:val="57"/>
        </w:numPr>
        <w:rPr>
          <w:rFonts w:ascii="Arial" w:cs="Arial" w:eastAsia="Arial" w:hAnsi="Arial"/>
          <w:sz w:val="12"/>
          <w:szCs w:val="12"/>
          <w:color w:val="1A475F"/>
        </w:rPr>
      </w:pPr>
      <w:r>
        <w:rPr>
          <w:rFonts w:ascii="Arial" w:cs="Arial" w:eastAsia="Arial" w:hAnsi="Arial"/>
          <w:sz w:val="12"/>
          <w:szCs w:val="12"/>
          <w:color w:val="1A475F"/>
        </w:rPr>
        <w:t>For a description of the assumptions used for purposes of determining the grant date fair value, please see Note 14 to our audited consolidated financial statements</w:t>
      </w:r>
    </w:p>
    <w:p>
      <w:pPr>
        <w:spacing w:after="0" w:line="13" w:lineRule="exact"/>
        <w:rPr>
          <w:sz w:val="20"/>
          <w:szCs w:val="20"/>
          <w:color w:val="auto"/>
        </w:rPr>
      </w:pPr>
    </w:p>
    <w:p>
      <w:pPr>
        <w:ind w:left="1280" w:right="120"/>
        <w:spacing w:after="0" w:line="241" w:lineRule="auto"/>
        <w:rPr>
          <w:sz w:val="20"/>
          <w:szCs w:val="20"/>
          <w:color w:val="auto"/>
        </w:rPr>
      </w:pPr>
      <w:r>
        <w:rPr>
          <w:rFonts w:ascii="Arial" w:cs="Arial" w:eastAsia="Arial" w:hAnsi="Arial"/>
          <w:sz w:val="12"/>
          <w:szCs w:val="12"/>
          <w:color w:val="1A475F"/>
        </w:rPr>
        <w:t>included in our 2025 Annual Report. For more information regarding awards granted in 2025, please see the “Grants of Plan-Based Awards” table in this Proxy Statement. See the “Compensation Discussion and Analysis” in this Proxy Statement for a discussion of the performance measures and vesting criteria applicable to the PRSUs granted in 2025.</w:t>
      </w:r>
    </w:p>
    <w:p>
      <w:pPr>
        <w:spacing w:after="0" w:line="1" w:lineRule="exact"/>
        <w:rPr>
          <w:sz w:val="20"/>
          <w:szCs w:val="20"/>
          <w:color w:val="auto"/>
        </w:rPr>
      </w:pPr>
    </w:p>
    <w:p>
      <w:pPr>
        <w:ind w:left="1280" w:right="140" w:hanging="379"/>
        <w:spacing w:after="0" w:line="241" w:lineRule="auto"/>
        <w:tabs>
          <w:tab w:leader="none" w:pos="1280" w:val="left"/>
        </w:tabs>
        <w:numPr>
          <w:ilvl w:val="0"/>
          <w:numId w:val="58"/>
        </w:numPr>
        <w:rPr>
          <w:rFonts w:ascii="Arial" w:cs="Arial" w:eastAsia="Arial" w:hAnsi="Arial"/>
          <w:sz w:val="12"/>
          <w:szCs w:val="12"/>
          <w:color w:val="1A475F"/>
        </w:rPr>
      </w:pPr>
      <w:r>
        <w:rPr>
          <w:rFonts w:ascii="Arial" w:cs="Arial" w:eastAsia="Arial" w:hAnsi="Arial"/>
          <w:sz w:val="12"/>
          <w:szCs w:val="12"/>
          <w:color w:val="1A475F"/>
        </w:rPr>
        <w:t>The amounts included in the “Option Awards” column represent the aggregate grant date fair value of all stock options granted. These values have been determined in accordance with FASB ASC Topic 718 and do not contemplate forfeitures by the respective executives. For a description of the assumptions used for purposes of determining the grant date fair value of stock options granted in all three years, please see Note 14 to our audited consolidated financial statements included in our 2025 Annual Report. For more information regarding the stock option awards granted in 2025, please see the “Grants of Plan-Based Awards” table.</w:t>
      </w:r>
    </w:p>
    <w:p>
      <w:pPr>
        <w:spacing w:after="0" w:line="1" w:lineRule="exact"/>
        <w:rPr>
          <w:rFonts w:ascii="Arial" w:cs="Arial" w:eastAsia="Arial" w:hAnsi="Arial"/>
          <w:sz w:val="12"/>
          <w:szCs w:val="12"/>
          <w:color w:val="1A475F"/>
        </w:rPr>
      </w:pPr>
    </w:p>
    <w:p>
      <w:pPr>
        <w:ind w:left="1280" w:right="60" w:hanging="379"/>
        <w:spacing w:after="0" w:line="251" w:lineRule="auto"/>
        <w:tabs>
          <w:tab w:leader="none" w:pos="1280" w:val="left"/>
        </w:tabs>
        <w:numPr>
          <w:ilvl w:val="0"/>
          <w:numId w:val="58"/>
        </w:numPr>
        <w:rPr>
          <w:rFonts w:ascii="Arial" w:cs="Arial" w:eastAsia="Arial" w:hAnsi="Arial"/>
          <w:sz w:val="12"/>
          <w:szCs w:val="12"/>
          <w:color w:val="1A475F"/>
        </w:rPr>
      </w:pPr>
      <w:r>
        <w:rPr>
          <w:rFonts w:ascii="Arial" w:cs="Arial" w:eastAsia="Arial" w:hAnsi="Arial"/>
          <w:sz w:val="12"/>
          <w:szCs w:val="12"/>
          <w:color w:val="1A475F"/>
        </w:rPr>
        <w:t>Amounts shown reflect the cash amounts paid to our NEOs under our annual cash bonus plan for each fiscal year that was earned based on Company performance, which is described in “Elements of Executive Compensation—Annual Cash Bonus” above. These payments are made in the year following the fiscal year to which the payment relates.</w:t>
      </w:r>
    </w:p>
    <w:p>
      <w:pPr>
        <w:spacing w:after="0" w:line="90"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44</w:t>
        <w:tab/>
        <w:t>|    Bright Horizons </w:t>
      </w:r>
    </w:p>
    <w:p>
      <w:pPr>
        <w:sectPr>
          <w:pgSz w:w="11900" w:h="16838" w:orient="portrait"/>
          <w:cols w:equalWidth="0" w:num="1">
            <w:col w:w="10360"/>
          </w:cols>
          <w:pgMar w:left="320" w:top="434" w:right="1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90" w:lineRule="exact"/>
        <w:rPr>
          <w:sz w:val="20"/>
          <w:szCs w:val="20"/>
          <w:color w:val="auto"/>
        </w:rPr>
      </w:pPr>
    </w:p>
    <w:p>
      <w:pPr>
        <w:ind w:left="1280" w:right="180" w:hanging="379"/>
        <w:spacing w:after="0" w:line="255" w:lineRule="auto"/>
        <w:tabs>
          <w:tab w:leader="none" w:pos="1280" w:val="left"/>
        </w:tabs>
        <w:numPr>
          <w:ilvl w:val="0"/>
          <w:numId w:val="59"/>
        </w:numPr>
        <w:rPr>
          <w:rFonts w:ascii="Arial" w:cs="Arial" w:eastAsia="Arial" w:hAnsi="Arial"/>
          <w:sz w:val="12"/>
          <w:szCs w:val="12"/>
          <w:color w:val="1A475F"/>
        </w:rPr>
      </w:pPr>
      <w:r>
        <w:rPr>
          <w:rFonts w:ascii="Arial" w:cs="Arial" w:eastAsia="Arial" w:hAnsi="Arial"/>
          <w:sz w:val="12"/>
          <w:szCs w:val="12"/>
          <w:color w:val="1A475F"/>
        </w:rPr>
        <w:t>Amounts shown in the “All Other Compensation” column for 2025 include the following: matching contributions made to the 401(k) Plan on behalf of certain NEOs; matching contributions made to the NQDC Plan on behalf of Mr. Kramer and Mses. Berman and Burke Afonso and, on behalf of Ms. Marshall, pro-rated amounts of permanent health insurance (disability) which concluded in May 2025, and private medical insurance, a cash payment in lieu of contributions to the Company’s U.K. Group Pension Plan and a car allowance, each as set forth in the table below.</w:t>
      </w:r>
    </w:p>
    <w:p>
      <w:pPr>
        <w:spacing w:after="0" w:line="160"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1A475F"/>
                <w:w w:val="97"/>
              </w:rPr>
              <w:t>Cash in Lieu</w:t>
            </w: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1A475F"/>
                <w:w w:val="97"/>
              </w:rPr>
              <w:t>Private</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1A475F"/>
                <w:w w:val="97"/>
              </w:rPr>
              <w:t>Deferred</w:t>
            </w:r>
          </w:p>
        </w:tc>
        <w:tc>
          <w:tcPr>
            <w:tcW w:w="24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8"/>
              </w:rPr>
              <w:t>Medical and</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2"/>
            <w:vMerge w:val="restart"/>
          </w:tcPr>
          <w:p>
            <w:pPr>
              <w:jc w:val="center"/>
              <w:ind w:left="166"/>
              <w:spacing w:after="0"/>
              <w:rPr>
                <w:sz w:val="20"/>
                <w:szCs w:val="20"/>
                <w:color w:val="auto"/>
              </w:rPr>
            </w:pPr>
            <w:r>
              <w:rPr>
                <w:rFonts w:ascii="Arial" w:cs="Arial" w:eastAsia="Arial" w:hAnsi="Arial"/>
                <w:sz w:val="11"/>
                <w:szCs w:val="11"/>
                <w:b w:val="1"/>
                <w:bCs w:val="1"/>
                <w:color w:val="1A475F"/>
                <w:w w:val="94"/>
              </w:rPr>
              <w:t>401(k)</w:t>
            </w:r>
          </w:p>
        </w:tc>
        <w:tc>
          <w:tcPr>
            <w:tcW w:w="22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8"/>
              </w:rPr>
              <w:t>of Group</w:t>
            </w:r>
          </w:p>
        </w:tc>
        <w:tc>
          <w:tcPr>
            <w:tcW w:w="2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gridSpan w:val="2"/>
          </w:tcPr>
          <w:p>
            <w:pPr>
              <w:jc w:val="center"/>
              <w:ind w:left="166"/>
              <w:spacing w:after="0" w:line="116" w:lineRule="exact"/>
              <w:rPr>
                <w:sz w:val="20"/>
                <w:szCs w:val="20"/>
                <w:color w:val="auto"/>
              </w:rPr>
            </w:pPr>
            <w:r>
              <w:rPr>
                <w:rFonts w:ascii="Arial" w:cs="Arial" w:eastAsia="Arial" w:hAnsi="Arial"/>
                <w:sz w:val="11"/>
                <w:szCs w:val="11"/>
                <w:b w:val="1"/>
                <w:bCs w:val="1"/>
                <w:color w:val="1A475F"/>
                <w:w w:val="96"/>
              </w:rPr>
              <w:t>Supplemental</w:t>
            </w:r>
          </w:p>
        </w:tc>
        <w:tc>
          <w:tcPr>
            <w:tcW w:w="22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1A475F"/>
                <w:w w:val="97"/>
              </w:rPr>
              <w:t>Car</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8"/>
              </w:rPr>
              <w:t>Pension</w:t>
            </w:r>
          </w:p>
        </w:tc>
        <w:tc>
          <w:tcPr>
            <w:tcW w:w="980" w:type="dxa"/>
            <w:vAlign w:val="bottom"/>
            <w:gridSpan w:val="2"/>
          </w:tcPr>
          <w:p>
            <w:pPr>
              <w:jc w:val="center"/>
              <w:ind w:left="166"/>
              <w:spacing w:after="0" w:line="116" w:lineRule="exact"/>
              <w:rPr>
                <w:sz w:val="20"/>
                <w:szCs w:val="20"/>
                <w:color w:val="auto"/>
              </w:rPr>
            </w:pPr>
            <w:r>
              <w:rPr>
                <w:rFonts w:ascii="Arial" w:cs="Arial" w:eastAsia="Arial" w:hAnsi="Arial"/>
                <w:sz w:val="11"/>
                <w:szCs w:val="11"/>
                <w:b w:val="1"/>
                <w:bCs w:val="1"/>
                <w:color w:val="1A475F"/>
                <w:w w:val="99"/>
              </w:rPr>
              <w:t>Compensation</w:t>
            </w:r>
          </w:p>
        </w:tc>
        <w:tc>
          <w:tcPr>
            <w:tcW w:w="24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8"/>
              </w:rPr>
              <w:t>Disability</w:t>
            </w: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1A475F"/>
              </w:rPr>
              <w:t>Total</w:t>
            </w:r>
          </w:p>
        </w:tc>
        <w:tc>
          <w:tcPr>
            <w:tcW w:w="0" w:type="dxa"/>
            <w:vAlign w:val="bottom"/>
          </w:tcPr>
          <w:p>
            <w:pPr>
              <w:spacing w:after="0"/>
              <w:rPr>
                <w:sz w:val="1"/>
                <w:szCs w:val="1"/>
                <w:color w:val="auto"/>
              </w:rPr>
            </w:pPr>
          </w:p>
        </w:tc>
      </w:tr>
      <w:tr>
        <w:trPr>
          <w:trHeight w:val="116"/>
        </w:trPr>
        <w:tc>
          <w:tcPr>
            <w:tcW w:w="1940" w:type="dxa"/>
            <w:vAlign w:val="bottom"/>
            <w:vMerge w:val="restart"/>
          </w:tcPr>
          <w:p>
            <w:pPr>
              <w:spacing w:after="0"/>
              <w:rPr>
                <w:sz w:val="20"/>
                <w:szCs w:val="20"/>
                <w:color w:val="auto"/>
              </w:rPr>
            </w:pPr>
            <w:r>
              <w:rPr>
                <w:rFonts w:ascii="Arial" w:cs="Arial" w:eastAsia="Arial" w:hAnsi="Arial"/>
                <w:sz w:val="11"/>
                <w:szCs w:val="11"/>
                <w:b w:val="1"/>
                <w:bCs w:val="1"/>
                <w:color w:val="1A475F"/>
              </w:rPr>
              <w:t>Name</w:t>
            </w:r>
          </w:p>
        </w:tc>
        <w:tc>
          <w:tcPr>
            <w:tcW w:w="220" w:type="dxa"/>
            <w:vAlign w:val="bottom"/>
          </w:tcPr>
          <w:p>
            <w:pPr>
              <w:spacing w:after="0"/>
              <w:rPr>
                <w:sz w:val="10"/>
                <w:szCs w:val="10"/>
                <w:color w:val="auto"/>
              </w:rPr>
            </w:pPr>
          </w:p>
        </w:tc>
        <w:tc>
          <w:tcPr>
            <w:tcW w:w="240" w:type="dxa"/>
            <w:vAlign w:val="bottom"/>
            <w:vMerge w:val="restart"/>
          </w:tcPr>
          <w:p>
            <w:pPr>
              <w:spacing w:after="0"/>
              <w:rPr>
                <w:sz w:val="20"/>
                <w:szCs w:val="20"/>
                <w:color w:val="auto"/>
              </w:rPr>
            </w:pPr>
            <w:r>
              <w:rPr>
                <w:rFonts w:ascii="Arial" w:cs="Arial" w:eastAsia="Arial" w:hAnsi="Arial"/>
                <w:sz w:val="11"/>
                <w:szCs w:val="11"/>
                <w:b w:val="1"/>
                <w:bCs w:val="1"/>
                <w:color w:val="1A475F"/>
                <w:w w:val="92"/>
              </w:rPr>
              <w:t>Year</w:t>
            </w:r>
          </w:p>
        </w:tc>
        <w:tc>
          <w:tcPr>
            <w:tcW w:w="560" w:type="dxa"/>
            <w:vAlign w:val="bottom"/>
            <w:gridSpan w:val="2"/>
          </w:tcPr>
          <w:p>
            <w:pPr>
              <w:ind w:left="240"/>
              <w:spacing w:after="0" w:line="116" w:lineRule="exact"/>
              <w:rPr>
                <w:sz w:val="20"/>
                <w:szCs w:val="20"/>
                <w:color w:val="auto"/>
              </w:rPr>
            </w:pPr>
            <w:r>
              <w:rPr>
                <w:rFonts w:ascii="Arial" w:cs="Arial" w:eastAsia="Arial" w:hAnsi="Arial"/>
                <w:sz w:val="11"/>
                <w:szCs w:val="11"/>
                <w:b w:val="1"/>
                <w:bCs w:val="1"/>
                <w:color w:val="1A475F"/>
                <w:w w:val="94"/>
              </w:rPr>
              <w:t>Match</w:t>
            </w:r>
          </w:p>
        </w:tc>
        <w:tc>
          <w:tcPr>
            <w:tcW w:w="940" w:type="dxa"/>
            <w:vAlign w:val="bottom"/>
            <w:gridSpan w:val="2"/>
          </w:tcPr>
          <w:p>
            <w:pPr>
              <w:jc w:val="center"/>
              <w:ind w:left="166"/>
              <w:spacing w:after="0" w:line="116" w:lineRule="exact"/>
              <w:rPr>
                <w:sz w:val="20"/>
                <w:szCs w:val="20"/>
                <w:color w:val="auto"/>
              </w:rPr>
            </w:pPr>
            <w:r>
              <w:rPr>
                <w:rFonts w:ascii="Arial" w:cs="Arial" w:eastAsia="Arial" w:hAnsi="Arial"/>
                <w:sz w:val="11"/>
                <w:szCs w:val="11"/>
                <w:b w:val="1"/>
                <w:bCs w:val="1"/>
                <w:color w:val="1A475F"/>
                <w:w w:val="99"/>
              </w:rPr>
              <w:t>Contributions</w:t>
            </w:r>
          </w:p>
        </w:tc>
        <w:tc>
          <w:tcPr>
            <w:tcW w:w="24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6"/>
              </w:rPr>
              <w:t>Plan Match</w:t>
            </w:r>
          </w:p>
        </w:tc>
        <w:tc>
          <w:tcPr>
            <w:tcW w:w="24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6"/>
              </w:rPr>
              <w:t>Insurance</w:t>
            </w:r>
          </w:p>
        </w:tc>
        <w:tc>
          <w:tcPr>
            <w:tcW w:w="780" w:type="dxa"/>
            <w:vAlign w:val="bottom"/>
            <w:gridSpan w:val="2"/>
          </w:tcPr>
          <w:p>
            <w:pPr>
              <w:jc w:val="center"/>
              <w:ind w:left="146"/>
              <w:spacing w:after="0" w:line="116" w:lineRule="exact"/>
              <w:rPr>
                <w:sz w:val="20"/>
                <w:szCs w:val="20"/>
                <w:color w:val="auto"/>
              </w:rPr>
            </w:pPr>
            <w:r>
              <w:rPr>
                <w:rFonts w:ascii="Arial" w:cs="Arial" w:eastAsia="Arial" w:hAnsi="Arial"/>
                <w:sz w:val="11"/>
                <w:szCs w:val="11"/>
                <w:b w:val="1"/>
                <w:bCs w:val="1"/>
                <w:color w:val="1A475F"/>
                <w:w w:val="99"/>
              </w:rPr>
              <w:t>Allowance</w:t>
            </w:r>
          </w:p>
        </w:tc>
        <w:tc>
          <w:tcPr>
            <w:tcW w:w="2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560" w:type="dxa"/>
            <w:vAlign w:val="bottom"/>
            <w:gridSpan w:val="2"/>
          </w:tcPr>
          <w:p>
            <w:pPr>
              <w:jc w:val="center"/>
              <w:ind w:left="166"/>
              <w:spacing w:after="0"/>
              <w:rPr>
                <w:sz w:val="20"/>
                <w:szCs w:val="20"/>
                <w:color w:val="auto"/>
              </w:rPr>
            </w:pPr>
            <w:r>
              <w:rPr>
                <w:rFonts w:ascii="Arial" w:cs="Arial" w:eastAsia="Arial" w:hAnsi="Arial"/>
                <w:sz w:val="11"/>
                <w:szCs w:val="11"/>
                <w:b w:val="1"/>
                <w:bCs w:val="1"/>
                <w:color w:val="1A475F"/>
              </w:rPr>
              <w:t>($)</w:t>
            </w:r>
          </w:p>
        </w:tc>
        <w:tc>
          <w:tcPr>
            <w:tcW w:w="940" w:type="dxa"/>
            <w:vAlign w:val="bottom"/>
            <w:gridSpan w:val="2"/>
          </w:tcPr>
          <w:p>
            <w:pPr>
              <w:jc w:val="center"/>
              <w:ind w:left="166"/>
              <w:spacing w:after="0"/>
              <w:rPr>
                <w:sz w:val="20"/>
                <w:szCs w:val="20"/>
                <w:color w:val="auto"/>
              </w:rPr>
            </w:pPr>
            <w:r>
              <w:rPr>
                <w:rFonts w:ascii="Arial" w:cs="Arial" w:eastAsia="Arial" w:hAnsi="Arial"/>
                <w:sz w:val="11"/>
                <w:szCs w:val="11"/>
                <w:b w:val="1"/>
                <w:bCs w:val="1"/>
                <w:color w:val="1A475F"/>
                <w:w w:val="88"/>
              </w:rPr>
              <w:t>($)</w:t>
            </w:r>
          </w:p>
        </w:tc>
        <w:tc>
          <w:tcPr>
            <w:tcW w:w="980" w:type="dxa"/>
            <w:vAlign w:val="bottom"/>
            <w:gridSpan w:val="2"/>
          </w:tcPr>
          <w:p>
            <w:pPr>
              <w:jc w:val="center"/>
              <w:ind w:left="186"/>
              <w:spacing w:after="0"/>
              <w:rPr>
                <w:sz w:val="20"/>
                <w:szCs w:val="20"/>
                <w:color w:val="auto"/>
              </w:rPr>
            </w:pPr>
            <w:r>
              <w:rPr>
                <w:rFonts w:ascii="Arial" w:cs="Arial" w:eastAsia="Arial" w:hAnsi="Arial"/>
                <w:sz w:val="11"/>
                <w:szCs w:val="11"/>
                <w:b w:val="1"/>
                <w:bCs w:val="1"/>
                <w:color w:val="1A475F"/>
              </w:rPr>
              <w:t>($)</w:t>
            </w:r>
          </w:p>
        </w:tc>
        <w:tc>
          <w:tcPr>
            <w:tcW w:w="960" w:type="dxa"/>
            <w:vAlign w:val="bottom"/>
            <w:gridSpan w:val="2"/>
          </w:tcPr>
          <w:p>
            <w:pPr>
              <w:jc w:val="center"/>
              <w:ind w:left="166"/>
              <w:spacing w:after="0"/>
              <w:rPr>
                <w:sz w:val="20"/>
                <w:szCs w:val="20"/>
                <w:color w:val="auto"/>
              </w:rPr>
            </w:pPr>
            <w:r>
              <w:rPr>
                <w:rFonts w:ascii="Arial" w:cs="Arial" w:eastAsia="Arial" w:hAnsi="Arial"/>
                <w:sz w:val="11"/>
                <w:szCs w:val="11"/>
                <w:b w:val="1"/>
                <w:bCs w:val="1"/>
                <w:color w:val="1A475F"/>
              </w:rPr>
              <w:t>($)</w:t>
            </w:r>
          </w:p>
        </w:tc>
        <w:tc>
          <w:tcPr>
            <w:tcW w:w="780" w:type="dxa"/>
            <w:vAlign w:val="bottom"/>
            <w:gridSpan w:val="2"/>
          </w:tcPr>
          <w:p>
            <w:pPr>
              <w:jc w:val="center"/>
              <w:ind w:left="146"/>
              <w:spacing w:after="0"/>
              <w:rPr>
                <w:sz w:val="20"/>
                <w:szCs w:val="20"/>
                <w:color w:val="auto"/>
              </w:rPr>
            </w:pPr>
            <w:r>
              <w:rPr>
                <w:rFonts w:ascii="Arial" w:cs="Arial" w:eastAsia="Arial" w:hAnsi="Arial"/>
                <w:sz w:val="11"/>
                <w:szCs w:val="11"/>
                <w:b w:val="1"/>
                <w:bCs w:val="1"/>
                <w:color w:val="1A475F"/>
              </w:rPr>
              <w:t>($)</w:t>
            </w:r>
          </w:p>
        </w:tc>
        <w:tc>
          <w:tcPr>
            <w:tcW w:w="560" w:type="dxa"/>
            <w:vAlign w:val="bottom"/>
            <w:gridSpan w:val="2"/>
          </w:tcPr>
          <w:p>
            <w:pPr>
              <w:jc w:val="center"/>
              <w:ind w:left="166"/>
              <w:spacing w:after="0"/>
              <w:rPr>
                <w:sz w:val="20"/>
                <w:szCs w:val="20"/>
                <w:color w:val="auto"/>
              </w:rPr>
            </w:pPr>
            <w:r>
              <w:rPr>
                <w:rFonts w:ascii="Arial" w:cs="Arial" w:eastAsia="Arial" w:hAnsi="Arial"/>
                <w:sz w:val="11"/>
                <w:szCs w:val="11"/>
                <w:b w:val="1"/>
                <w:bCs w:val="1"/>
                <w:color w:val="1A475F"/>
              </w:rPr>
              <w:t>($)</w:t>
            </w:r>
          </w:p>
        </w:tc>
        <w:tc>
          <w:tcPr>
            <w:tcW w:w="0" w:type="dxa"/>
            <w:vAlign w:val="bottom"/>
          </w:tcPr>
          <w:p>
            <w:pPr>
              <w:spacing w:after="0"/>
              <w:rPr>
                <w:sz w:val="1"/>
                <w:szCs w:val="1"/>
                <w:color w:val="auto"/>
              </w:rPr>
            </w:pPr>
          </w:p>
        </w:tc>
      </w:tr>
      <w:tr>
        <w:trPr>
          <w:trHeight w:val="107"/>
        </w:trPr>
        <w:tc>
          <w:tcPr>
            <w:tcW w:w="194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1A475F"/>
              </w:rPr>
              <w:t>Stephen H. Kramer</w:t>
            </w: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1A475F"/>
                <w:w w:val="89"/>
              </w:rPr>
              <w:t>2025</w:t>
            </w:r>
          </w:p>
        </w:tc>
        <w:tc>
          <w:tcPr>
            <w:tcW w:w="2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1"/>
                <w:szCs w:val="11"/>
                <w:color w:val="1A475F"/>
                <w:w w:val="94"/>
              </w:rPr>
              <w:t>5,743</w:t>
            </w: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1"/>
                <w:szCs w:val="11"/>
                <w:color w:val="1A475F"/>
              </w:rPr>
              <w:t>—</w:t>
            </w:r>
          </w:p>
        </w:tc>
        <w:tc>
          <w:tcPr>
            <w:tcW w:w="2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1"/>
                <w:szCs w:val="11"/>
                <w:color w:val="1A475F"/>
              </w:rPr>
              <w:t>2,500</w:t>
            </w:r>
          </w:p>
        </w:tc>
        <w:tc>
          <w:tcPr>
            <w:tcW w:w="2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1"/>
                <w:szCs w:val="11"/>
                <w:color w:val="1A475F"/>
                <w:w w:val="90"/>
              </w:rPr>
              <w:t>—</w:t>
            </w:r>
          </w:p>
        </w:tc>
        <w:tc>
          <w:tcPr>
            <w:tcW w:w="2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1"/>
                <w:szCs w:val="11"/>
                <w:color w:val="1A475F"/>
                <w:w w:val="90"/>
              </w:rPr>
              <w:t>—</w:t>
            </w:r>
          </w:p>
        </w:tc>
        <w:tc>
          <w:tcPr>
            <w:tcW w:w="2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1"/>
                <w:szCs w:val="11"/>
                <w:color w:val="1A475F"/>
              </w:rPr>
              <w:t>8,243</w:t>
            </w:r>
          </w:p>
        </w:tc>
        <w:tc>
          <w:tcPr>
            <w:tcW w:w="0" w:type="dxa"/>
            <w:vAlign w:val="bottom"/>
          </w:tcPr>
          <w:p>
            <w:pPr>
              <w:spacing w:after="0"/>
              <w:rPr>
                <w:sz w:val="1"/>
                <w:szCs w:val="1"/>
                <w:color w:val="auto"/>
              </w:rPr>
            </w:pPr>
          </w:p>
        </w:tc>
      </w:tr>
      <w:tr>
        <w:trPr>
          <w:trHeight w:val="116"/>
        </w:trPr>
        <w:tc>
          <w:tcPr>
            <w:tcW w:w="1940" w:type="dxa"/>
            <w:vAlign w:val="bottom"/>
          </w:tcPr>
          <w:p>
            <w:pPr>
              <w:spacing w:after="0" w:line="116" w:lineRule="exact"/>
              <w:rPr>
                <w:sz w:val="20"/>
                <w:szCs w:val="20"/>
                <w:color w:val="auto"/>
              </w:rPr>
            </w:pPr>
            <w:r>
              <w:rPr>
                <w:rFonts w:ascii="Arial" w:cs="Arial" w:eastAsia="Arial" w:hAnsi="Arial"/>
                <w:sz w:val="11"/>
                <w:szCs w:val="11"/>
                <w:color w:val="1A475F"/>
              </w:rPr>
              <w:t>Elizabeth J. Boland</w:t>
            </w:r>
          </w:p>
        </w:tc>
        <w:tc>
          <w:tcPr>
            <w:tcW w:w="460" w:type="dxa"/>
            <w:vAlign w:val="bottom"/>
            <w:gridSpan w:val="2"/>
          </w:tcPr>
          <w:p>
            <w:pPr>
              <w:ind w:left="220"/>
              <w:spacing w:after="0" w:line="116" w:lineRule="exact"/>
              <w:rPr>
                <w:sz w:val="20"/>
                <w:szCs w:val="20"/>
                <w:color w:val="auto"/>
              </w:rPr>
            </w:pPr>
            <w:r>
              <w:rPr>
                <w:rFonts w:ascii="Arial" w:cs="Arial" w:eastAsia="Arial" w:hAnsi="Arial"/>
                <w:sz w:val="11"/>
                <w:szCs w:val="11"/>
                <w:color w:val="1A475F"/>
                <w:w w:val="89"/>
              </w:rPr>
              <w:t>2025</w:t>
            </w:r>
          </w:p>
        </w:tc>
        <w:tc>
          <w:tcPr>
            <w:tcW w:w="560" w:type="dxa"/>
            <w:vAlign w:val="bottom"/>
            <w:gridSpan w:val="2"/>
          </w:tcPr>
          <w:p>
            <w:pPr>
              <w:jc w:val="center"/>
              <w:ind w:left="166"/>
              <w:spacing w:after="0" w:line="116" w:lineRule="exact"/>
              <w:rPr>
                <w:sz w:val="20"/>
                <w:szCs w:val="20"/>
                <w:color w:val="auto"/>
              </w:rPr>
            </w:pPr>
            <w:r>
              <w:rPr>
                <w:rFonts w:ascii="Arial" w:cs="Arial" w:eastAsia="Arial" w:hAnsi="Arial"/>
                <w:sz w:val="11"/>
                <w:szCs w:val="11"/>
                <w:color w:val="1A475F"/>
                <w:w w:val="94"/>
              </w:rPr>
              <w:t>6,777</w:t>
            </w:r>
          </w:p>
        </w:tc>
        <w:tc>
          <w:tcPr>
            <w:tcW w:w="22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24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24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22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560" w:type="dxa"/>
            <w:vAlign w:val="bottom"/>
            <w:gridSpan w:val="2"/>
          </w:tcPr>
          <w:p>
            <w:pPr>
              <w:jc w:val="center"/>
              <w:ind w:left="146"/>
              <w:spacing w:after="0" w:line="116" w:lineRule="exact"/>
              <w:rPr>
                <w:sz w:val="20"/>
                <w:szCs w:val="20"/>
                <w:color w:val="auto"/>
              </w:rPr>
            </w:pPr>
            <w:r>
              <w:rPr>
                <w:rFonts w:ascii="Arial" w:cs="Arial" w:eastAsia="Arial" w:hAnsi="Arial"/>
                <w:sz w:val="11"/>
                <w:szCs w:val="11"/>
                <w:color w:val="1A475F"/>
              </w:rPr>
              <w:t>6,777</w:t>
            </w:r>
          </w:p>
        </w:tc>
        <w:tc>
          <w:tcPr>
            <w:tcW w:w="0" w:type="dxa"/>
            <w:vAlign w:val="bottom"/>
          </w:tcPr>
          <w:p>
            <w:pPr>
              <w:spacing w:after="0"/>
              <w:rPr>
                <w:sz w:val="1"/>
                <w:szCs w:val="1"/>
                <w:color w:val="auto"/>
              </w:rPr>
            </w:pPr>
          </w:p>
        </w:tc>
      </w:tr>
      <w:tr>
        <w:trPr>
          <w:trHeight w:val="116"/>
        </w:trPr>
        <w:tc>
          <w:tcPr>
            <w:tcW w:w="1940" w:type="dxa"/>
            <w:vAlign w:val="bottom"/>
            <w:shd w:val="clear" w:color="auto" w:fill="CCEEFF"/>
          </w:tcPr>
          <w:p>
            <w:pPr>
              <w:spacing w:after="0" w:line="116" w:lineRule="exact"/>
              <w:rPr>
                <w:sz w:val="20"/>
                <w:szCs w:val="20"/>
                <w:color w:val="auto"/>
              </w:rPr>
            </w:pPr>
            <w:r>
              <w:rPr>
                <w:rFonts w:ascii="Arial" w:cs="Arial" w:eastAsia="Arial" w:hAnsi="Arial"/>
                <w:sz w:val="11"/>
                <w:szCs w:val="11"/>
                <w:color w:val="1A475F"/>
              </w:rPr>
              <w:t>Mary Lou Burke Afonso</w:t>
            </w:r>
          </w:p>
        </w:tc>
        <w:tc>
          <w:tcPr>
            <w:tcW w:w="460" w:type="dxa"/>
            <w:vAlign w:val="bottom"/>
            <w:gridSpan w:val="2"/>
            <w:shd w:val="clear" w:color="auto" w:fill="CCEEFF"/>
          </w:tcPr>
          <w:p>
            <w:pPr>
              <w:ind w:left="220"/>
              <w:spacing w:after="0" w:line="116" w:lineRule="exact"/>
              <w:rPr>
                <w:sz w:val="20"/>
                <w:szCs w:val="20"/>
                <w:color w:val="auto"/>
              </w:rPr>
            </w:pPr>
            <w:r>
              <w:rPr>
                <w:rFonts w:ascii="Arial" w:cs="Arial" w:eastAsia="Arial" w:hAnsi="Arial"/>
                <w:sz w:val="11"/>
                <w:szCs w:val="11"/>
                <w:color w:val="1A475F"/>
                <w:w w:val="89"/>
              </w:rPr>
              <w:t>2025</w:t>
            </w:r>
          </w:p>
        </w:tc>
        <w:tc>
          <w:tcPr>
            <w:tcW w:w="560" w:type="dxa"/>
            <w:vAlign w:val="bottom"/>
            <w:gridSpan w:val="2"/>
            <w:shd w:val="clear" w:color="auto" w:fill="CCEEFF"/>
          </w:tcPr>
          <w:p>
            <w:pPr>
              <w:jc w:val="center"/>
              <w:ind w:left="166"/>
              <w:spacing w:after="0" w:line="116" w:lineRule="exact"/>
              <w:rPr>
                <w:sz w:val="20"/>
                <w:szCs w:val="20"/>
                <w:color w:val="auto"/>
              </w:rPr>
            </w:pPr>
            <w:r>
              <w:rPr>
                <w:rFonts w:ascii="Arial" w:cs="Arial" w:eastAsia="Arial" w:hAnsi="Arial"/>
                <w:sz w:val="11"/>
                <w:szCs w:val="11"/>
                <w:color w:val="1A475F"/>
                <w:w w:val="94"/>
              </w:rPr>
              <w:t>7,000</w:t>
            </w: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980" w:type="dxa"/>
            <w:vAlign w:val="bottom"/>
            <w:gridSpan w:val="2"/>
            <w:shd w:val="clear" w:color="auto" w:fill="CCEEFF"/>
          </w:tcPr>
          <w:p>
            <w:pPr>
              <w:jc w:val="center"/>
              <w:ind w:left="166"/>
              <w:spacing w:after="0" w:line="116" w:lineRule="exact"/>
              <w:rPr>
                <w:sz w:val="20"/>
                <w:szCs w:val="20"/>
                <w:color w:val="auto"/>
              </w:rPr>
            </w:pPr>
            <w:r>
              <w:rPr>
                <w:rFonts w:ascii="Arial" w:cs="Arial" w:eastAsia="Arial" w:hAnsi="Arial"/>
                <w:sz w:val="11"/>
                <w:szCs w:val="11"/>
                <w:color w:val="1A475F"/>
              </w:rPr>
              <w:t>2,500</w:t>
            </w: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560" w:type="dxa"/>
            <w:vAlign w:val="bottom"/>
            <w:gridSpan w:val="2"/>
            <w:shd w:val="clear" w:color="auto" w:fill="CCEEFF"/>
          </w:tcPr>
          <w:p>
            <w:pPr>
              <w:jc w:val="center"/>
              <w:ind w:left="146"/>
              <w:spacing w:after="0" w:line="116" w:lineRule="exact"/>
              <w:rPr>
                <w:sz w:val="20"/>
                <w:szCs w:val="20"/>
                <w:color w:val="auto"/>
              </w:rPr>
            </w:pPr>
            <w:r>
              <w:rPr>
                <w:rFonts w:ascii="Arial" w:cs="Arial" w:eastAsia="Arial" w:hAnsi="Arial"/>
                <w:sz w:val="11"/>
                <w:szCs w:val="11"/>
                <w:color w:val="1A475F"/>
              </w:rPr>
              <w:t>9,500</w:t>
            </w:r>
          </w:p>
        </w:tc>
        <w:tc>
          <w:tcPr>
            <w:tcW w:w="0" w:type="dxa"/>
            <w:vAlign w:val="bottom"/>
          </w:tcPr>
          <w:p>
            <w:pPr>
              <w:spacing w:after="0"/>
              <w:rPr>
                <w:sz w:val="1"/>
                <w:szCs w:val="1"/>
                <w:color w:val="auto"/>
              </w:rPr>
            </w:pPr>
          </w:p>
        </w:tc>
      </w:tr>
      <w:tr>
        <w:trPr>
          <w:trHeight w:val="116"/>
        </w:trPr>
        <w:tc>
          <w:tcPr>
            <w:tcW w:w="1940" w:type="dxa"/>
            <w:vAlign w:val="bottom"/>
          </w:tcPr>
          <w:p>
            <w:pPr>
              <w:spacing w:after="0" w:line="116" w:lineRule="exact"/>
              <w:rPr>
                <w:sz w:val="20"/>
                <w:szCs w:val="20"/>
                <w:color w:val="auto"/>
              </w:rPr>
            </w:pPr>
            <w:r>
              <w:rPr>
                <w:rFonts w:ascii="Arial" w:cs="Arial" w:eastAsia="Arial" w:hAnsi="Arial"/>
                <w:sz w:val="11"/>
                <w:szCs w:val="11"/>
                <w:color w:val="1A475F"/>
              </w:rPr>
              <w:t>Mandy Berman</w:t>
            </w:r>
          </w:p>
        </w:tc>
        <w:tc>
          <w:tcPr>
            <w:tcW w:w="460" w:type="dxa"/>
            <w:vAlign w:val="bottom"/>
            <w:gridSpan w:val="2"/>
          </w:tcPr>
          <w:p>
            <w:pPr>
              <w:ind w:left="220"/>
              <w:spacing w:after="0" w:line="116" w:lineRule="exact"/>
              <w:rPr>
                <w:sz w:val="20"/>
                <w:szCs w:val="20"/>
                <w:color w:val="auto"/>
              </w:rPr>
            </w:pPr>
            <w:r>
              <w:rPr>
                <w:rFonts w:ascii="Arial" w:cs="Arial" w:eastAsia="Arial" w:hAnsi="Arial"/>
                <w:sz w:val="11"/>
                <w:szCs w:val="11"/>
                <w:color w:val="1A475F"/>
                <w:w w:val="89"/>
              </w:rPr>
              <w:t>2025</w:t>
            </w:r>
          </w:p>
        </w:tc>
        <w:tc>
          <w:tcPr>
            <w:tcW w:w="560" w:type="dxa"/>
            <w:vAlign w:val="bottom"/>
            <w:gridSpan w:val="2"/>
          </w:tcPr>
          <w:p>
            <w:pPr>
              <w:jc w:val="center"/>
              <w:ind w:left="166"/>
              <w:spacing w:after="0" w:line="116" w:lineRule="exact"/>
              <w:rPr>
                <w:sz w:val="20"/>
                <w:szCs w:val="20"/>
                <w:color w:val="auto"/>
              </w:rPr>
            </w:pPr>
            <w:r>
              <w:rPr>
                <w:rFonts w:ascii="Arial" w:cs="Arial" w:eastAsia="Arial" w:hAnsi="Arial"/>
                <w:sz w:val="11"/>
                <w:szCs w:val="11"/>
                <w:color w:val="1A475F"/>
                <w:w w:val="94"/>
              </w:rPr>
              <w:t>5,609</w:t>
            </w:r>
          </w:p>
        </w:tc>
        <w:tc>
          <w:tcPr>
            <w:tcW w:w="22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980" w:type="dxa"/>
            <w:vAlign w:val="bottom"/>
            <w:gridSpan w:val="2"/>
          </w:tcPr>
          <w:p>
            <w:pPr>
              <w:jc w:val="center"/>
              <w:ind w:left="166"/>
              <w:spacing w:after="0" w:line="116" w:lineRule="exact"/>
              <w:rPr>
                <w:sz w:val="20"/>
                <w:szCs w:val="20"/>
                <w:color w:val="auto"/>
              </w:rPr>
            </w:pPr>
            <w:r>
              <w:rPr>
                <w:rFonts w:ascii="Arial" w:cs="Arial" w:eastAsia="Arial" w:hAnsi="Arial"/>
                <w:sz w:val="11"/>
                <w:szCs w:val="11"/>
                <w:color w:val="1A475F"/>
              </w:rPr>
              <w:t>2,500</w:t>
            </w:r>
          </w:p>
        </w:tc>
        <w:tc>
          <w:tcPr>
            <w:tcW w:w="24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22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560" w:type="dxa"/>
            <w:vAlign w:val="bottom"/>
            <w:gridSpan w:val="2"/>
          </w:tcPr>
          <w:p>
            <w:pPr>
              <w:jc w:val="center"/>
              <w:ind w:left="146"/>
              <w:spacing w:after="0" w:line="116" w:lineRule="exact"/>
              <w:rPr>
                <w:sz w:val="20"/>
                <w:szCs w:val="20"/>
                <w:color w:val="auto"/>
              </w:rPr>
            </w:pPr>
            <w:r>
              <w:rPr>
                <w:rFonts w:ascii="Arial" w:cs="Arial" w:eastAsia="Arial" w:hAnsi="Arial"/>
                <w:sz w:val="11"/>
                <w:szCs w:val="11"/>
                <w:color w:val="1A475F"/>
              </w:rPr>
              <w:t>8,109</w:t>
            </w:r>
          </w:p>
        </w:tc>
        <w:tc>
          <w:tcPr>
            <w:tcW w:w="0" w:type="dxa"/>
            <w:vAlign w:val="bottom"/>
          </w:tcPr>
          <w:p>
            <w:pPr>
              <w:spacing w:after="0"/>
              <w:rPr>
                <w:sz w:val="1"/>
                <w:szCs w:val="1"/>
                <w:color w:val="auto"/>
              </w:rPr>
            </w:pPr>
          </w:p>
        </w:tc>
      </w:tr>
      <w:tr>
        <w:trPr>
          <w:trHeight w:val="116"/>
        </w:trPr>
        <w:tc>
          <w:tcPr>
            <w:tcW w:w="1940" w:type="dxa"/>
            <w:vAlign w:val="bottom"/>
            <w:shd w:val="clear" w:color="auto" w:fill="CCEEFF"/>
          </w:tcPr>
          <w:p>
            <w:pPr>
              <w:spacing w:after="0" w:line="116" w:lineRule="exact"/>
              <w:rPr>
                <w:sz w:val="20"/>
                <w:szCs w:val="20"/>
                <w:color w:val="auto"/>
              </w:rPr>
            </w:pPr>
            <w:r>
              <w:rPr>
                <w:rFonts w:ascii="Arial" w:cs="Arial" w:eastAsia="Arial" w:hAnsi="Arial"/>
                <w:sz w:val="11"/>
                <w:szCs w:val="11"/>
                <w:color w:val="1A475F"/>
              </w:rPr>
              <w:t>Rosamund Marshall(*)</w:t>
            </w:r>
          </w:p>
        </w:tc>
        <w:tc>
          <w:tcPr>
            <w:tcW w:w="460" w:type="dxa"/>
            <w:vAlign w:val="bottom"/>
            <w:gridSpan w:val="2"/>
            <w:shd w:val="clear" w:color="auto" w:fill="CCEEFF"/>
          </w:tcPr>
          <w:p>
            <w:pPr>
              <w:ind w:left="220"/>
              <w:spacing w:after="0" w:line="116" w:lineRule="exact"/>
              <w:rPr>
                <w:sz w:val="20"/>
                <w:szCs w:val="20"/>
                <w:color w:val="auto"/>
              </w:rPr>
            </w:pPr>
            <w:r>
              <w:rPr>
                <w:rFonts w:ascii="Arial" w:cs="Arial" w:eastAsia="Arial" w:hAnsi="Arial"/>
                <w:sz w:val="11"/>
                <w:szCs w:val="11"/>
                <w:color w:val="1A475F"/>
                <w:w w:val="89"/>
              </w:rPr>
              <w:t>2025</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940" w:type="dxa"/>
            <w:vAlign w:val="bottom"/>
            <w:gridSpan w:val="2"/>
            <w:shd w:val="clear" w:color="auto" w:fill="CCEEFF"/>
          </w:tcPr>
          <w:p>
            <w:pPr>
              <w:jc w:val="center"/>
              <w:ind w:left="166"/>
              <w:spacing w:after="0" w:line="116" w:lineRule="exact"/>
              <w:rPr>
                <w:sz w:val="20"/>
                <w:szCs w:val="20"/>
                <w:color w:val="auto"/>
              </w:rPr>
            </w:pPr>
            <w:r>
              <w:rPr>
                <w:rFonts w:ascii="Arial" w:cs="Arial" w:eastAsia="Arial" w:hAnsi="Arial"/>
                <w:sz w:val="11"/>
                <w:szCs w:val="11"/>
                <w:color w:val="1A475F"/>
                <w:w w:val="94"/>
              </w:rPr>
              <w:t>22,408</w:t>
            </w: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960" w:type="dxa"/>
            <w:vAlign w:val="bottom"/>
            <w:gridSpan w:val="2"/>
            <w:shd w:val="clear" w:color="auto" w:fill="CCEEFF"/>
          </w:tcPr>
          <w:p>
            <w:pPr>
              <w:jc w:val="center"/>
              <w:ind w:left="166"/>
              <w:spacing w:after="0" w:line="116" w:lineRule="exact"/>
              <w:rPr>
                <w:sz w:val="20"/>
                <w:szCs w:val="20"/>
                <w:color w:val="auto"/>
              </w:rPr>
            </w:pPr>
            <w:r>
              <w:rPr>
                <w:rFonts w:ascii="Arial" w:cs="Arial" w:eastAsia="Arial" w:hAnsi="Arial"/>
                <w:sz w:val="11"/>
                <w:szCs w:val="11"/>
                <w:color w:val="1A475F"/>
                <w:w w:val="94"/>
              </w:rPr>
              <w:t>8,423</w:t>
            </w:r>
          </w:p>
        </w:tc>
        <w:tc>
          <w:tcPr>
            <w:tcW w:w="780" w:type="dxa"/>
            <w:vAlign w:val="bottom"/>
            <w:gridSpan w:val="2"/>
            <w:shd w:val="clear" w:color="auto" w:fill="CCEEFF"/>
          </w:tcPr>
          <w:p>
            <w:pPr>
              <w:jc w:val="center"/>
              <w:ind w:left="146"/>
              <w:spacing w:after="0" w:line="116" w:lineRule="exact"/>
              <w:rPr>
                <w:sz w:val="20"/>
                <w:szCs w:val="20"/>
                <w:color w:val="auto"/>
              </w:rPr>
            </w:pPr>
            <w:r>
              <w:rPr>
                <w:rFonts w:ascii="Arial" w:cs="Arial" w:eastAsia="Arial" w:hAnsi="Arial"/>
                <w:sz w:val="11"/>
                <w:szCs w:val="11"/>
                <w:color w:val="1A475F"/>
              </w:rPr>
              <w:t>13,181</w:t>
            </w:r>
          </w:p>
        </w:tc>
        <w:tc>
          <w:tcPr>
            <w:tcW w:w="560" w:type="dxa"/>
            <w:vAlign w:val="bottom"/>
            <w:gridSpan w:val="2"/>
            <w:shd w:val="clear" w:color="auto" w:fill="CCEEFF"/>
          </w:tcPr>
          <w:p>
            <w:pPr>
              <w:jc w:val="center"/>
              <w:ind w:left="146"/>
              <w:spacing w:after="0" w:line="116" w:lineRule="exact"/>
              <w:rPr>
                <w:sz w:val="20"/>
                <w:szCs w:val="20"/>
                <w:color w:val="auto"/>
              </w:rPr>
            </w:pPr>
            <w:r>
              <w:rPr>
                <w:rFonts w:ascii="Arial" w:cs="Arial" w:eastAsia="Arial" w:hAnsi="Arial"/>
                <w:sz w:val="11"/>
                <w:szCs w:val="11"/>
                <w:color w:val="1A475F"/>
                <w:w w:val="94"/>
              </w:rPr>
              <w:t>44,012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73660</wp:posOffset>
            </wp:positionV>
            <wp:extent cx="54419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4195" cy="7620"/>
                    </a:xfrm>
                    <a:prstGeom prst="rect">
                      <a:avLst/>
                    </a:prstGeom>
                    <a:noFill/>
                  </pic:spPr>
                </pic:pic>
              </a:graphicData>
            </a:graphic>
          </wp:anchor>
        </w:drawing>
      </w:r>
    </w:p>
    <w:p>
      <w:pPr>
        <w:spacing w:after="0" w:line="134" w:lineRule="exact"/>
        <w:rPr>
          <w:sz w:val="20"/>
          <w:szCs w:val="20"/>
          <w:color w:val="auto"/>
        </w:rPr>
      </w:pPr>
    </w:p>
    <w:p>
      <w:pPr>
        <w:ind w:left="2400" w:right="200" w:hanging="376"/>
        <w:spacing w:after="0" w:line="282" w:lineRule="auto"/>
        <w:tabs>
          <w:tab w:leader="none" w:pos="2400" w:val="left"/>
        </w:tabs>
        <w:numPr>
          <w:ilvl w:val="0"/>
          <w:numId w:val="60"/>
        </w:numPr>
        <w:rPr>
          <w:rFonts w:ascii="Arial" w:cs="Arial" w:eastAsia="Arial" w:hAnsi="Arial"/>
          <w:sz w:val="12"/>
          <w:szCs w:val="12"/>
          <w:color w:val="1A475F"/>
        </w:rPr>
      </w:pPr>
      <w:r>
        <w:rPr>
          <w:rFonts w:ascii="Arial" w:cs="Arial" w:eastAsia="Arial" w:hAnsi="Arial"/>
          <w:sz w:val="12"/>
          <w:szCs w:val="12"/>
          <w:color w:val="1A475F"/>
        </w:rPr>
        <w:t>The amounts reported for Ms. Marshall were converted from British pounds to U.S. dollars using the average exchange rate for 2025 of 1.3181 U.S. dollars per 1.00 British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107950</wp:posOffset>
            </wp:positionV>
            <wp:extent cx="5997575" cy="183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191"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Grants of Plan-Based Awards</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The following table sets forth information regarding grants of plan-based awards in 2025.</w:t>
      </w:r>
    </w:p>
    <w:p>
      <w:pPr>
        <w:spacing w:after="0" w:line="198"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1A475F"/>
                <w:w w:val="94"/>
              </w:rPr>
              <w:t>All Other</w:t>
            </w:r>
          </w:p>
        </w:tc>
        <w:tc>
          <w:tcPr>
            <w:tcW w:w="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1A475F"/>
                <w:w w:val="98"/>
              </w:rPr>
              <w:t>All Other</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5"/>
          </w:tcPr>
          <w:p>
            <w:pPr>
              <w:jc w:val="center"/>
              <w:spacing w:after="0"/>
              <w:rPr>
                <w:sz w:val="20"/>
                <w:szCs w:val="20"/>
                <w:color w:val="auto"/>
              </w:rPr>
            </w:pPr>
            <w:r>
              <w:rPr>
                <w:rFonts w:ascii="Arial" w:cs="Arial" w:eastAsia="Arial" w:hAnsi="Arial"/>
                <w:sz w:val="11"/>
                <w:szCs w:val="11"/>
                <w:b w:val="1"/>
                <w:bCs w:val="1"/>
                <w:color w:val="1A475F"/>
                <w:w w:val="97"/>
              </w:rPr>
              <w:t>Estimated Future</w:t>
            </w:r>
          </w:p>
        </w:tc>
        <w:tc>
          <w:tcPr>
            <w:tcW w:w="100" w:type="dxa"/>
            <w:vAlign w:val="bottom"/>
          </w:tcPr>
          <w:p>
            <w:pPr>
              <w:spacing w:after="0"/>
              <w:rPr>
                <w:sz w:val="11"/>
                <w:szCs w:val="11"/>
                <w:color w:val="auto"/>
              </w:rPr>
            </w:pPr>
          </w:p>
        </w:tc>
        <w:tc>
          <w:tcPr>
            <w:tcW w:w="1540" w:type="dxa"/>
            <w:vAlign w:val="bottom"/>
            <w:gridSpan w:val="5"/>
            <w:vMerge w:val="restart"/>
          </w:tcPr>
          <w:p>
            <w:pPr>
              <w:jc w:val="center"/>
              <w:spacing w:after="0"/>
              <w:rPr>
                <w:sz w:val="20"/>
                <w:szCs w:val="20"/>
                <w:color w:val="auto"/>
              </w:rPr>
            </w:pPr>
            <w:r>
              <w:rPr>
                <w:rFonts w:ascii="Arial" w:cs="Arial" w:eastAsia="Arial" w:hAnsi="Arial"/>
                <w:sz w:val="11"/>
                <w:szCs w:val="11"/>
                <w:b w:val="1"/>
                <w:bCs w:val="1"/>
                <w:color w:val="1A475F"/>
                <w:w w:val="97"/>
              </w:rPr>
              <w:t>Estimated Future</w:t>
            </w:r>
          </w:p>
        </w:tc>
        <w:tc>
          <w:tcPr>
            <w:tcW w:w="8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1A475F"/>
                <w:w w:val="93"/>
              </w:rPr>
              <w:t>Stock</w:t>
            </w:r>
          </w:p>
        </w:tc>
        <w:tc>
          <w:tcPr>
            <w:tcW w:w="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1A475F"/>
                <w:w w:val="95"/>
              </w:rPr>
              <w:t>Option</w:t>
            </w:r>
          </w:p>
        </w:tc>
        <w:tc>
          <w:tcPr>
            <w:tcW w:w="540" w:type="dxa"/>
            <w:vAlign w:val="bottom"/>
            <w:gridSpan w:val="2"/>
            <w:vMerge w:val="restart"/>
          </w:tcPr>
          <w:p>
            <w:pPr>
              <w:jc w:val="center"/>
              <w:ind w:left="6"/>
              <w:spacing w:after="0"/>
              <w:rPr>
                <w:sz w:val="20"/>
                <w:szCs w:val="20"/>
                <w:color w:val="auto"/>
              </w:rPr>
            </w:pPr>
            <w:r>
              <w:rPr>
                <w:rFonts w:ascii="Arial" w:cs="Arial" w:eastAsia="Arial" w:hAnsi="Arial"/>
                <w:sz w:val="11"/>
                <w:szCs w:val="11"/>
                <w:b w:val="1"/>
                <w:bCs w:val="1"/>
                <w:color w:val="1A475F"/>
                <w:w w:val="97"/>
              </w:rPr>
              <w:t>Exercise</w:t>
            </w:r>
          </w:p>
        </w:tc>
        <w:tc>
          <w:tcPr>
            <w:tcW w:w="8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1A475F"/>
              </w:rPr>
              <w:t>Grant</w:t>
            </w: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4"/>
          </w:tcPr>
          <w:p>
            <w:pPr>
              <w:jc w:val="center"/>
              <w:ind w:left="446"/>
              <w:spacing w:after="0" w:line="116" w:lineRule="exact"/>
              <w:rPr>
                <w:sz w:val="20"/>
                <w:szCs w:val="20"/>
                <w:color w:val="auto"/>
              </w:rPr>
            </w:pPr>
            <w:r>
              <w:rPr>
                <w:rFonts w:ascii="Arial" w:cs="Arial" w:eastAsia="Arial" w:hAnsi="Arial"/>
                <w:sz w:val="11"/>
                <w:szCs w:val="11"/>
                <w:b w:val="1"/>
                <w:bCs w:val="1"/>
                <w:color w:val="1A475F"/>
                <w:w w:val="97"/>
              </w:rPr>
              <w:t>Payouts Under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rPr>
              <w:t>Awards:</w:t>
            </w:r>
          </w:p>
        </w:tc>
        <w:tc>
          <w:tcPr>
            <w:tcW w:w="8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6"/>
              </w:rPr>
              <w:t>Awards:</w:t>
            </w: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60"/>
              <w:spacing w:after="0" w:line="116" w:lineRule="exact"/>
              <w:rPr>
                <w:sz w:val="20"/>
                <w:szCs w:val="20"/>
                <w:color w:val="auto"/>
              </w:rPr>
            </w:pPr>
            <w:r>
              <w:rPr>
                <w:rFonts w:ascii="Arial" w:cs="Arial" w:eastAsia="Arial" w:hAnsi="Arial"/>
                <w:sz w:val="11"/>
                <w:szCs w:val="11"/>
                <w:b w:val="1"/>
                <w:bCs w:val="1"/>
                <w:color w:val="1A475F"/>
                <w:w w:val="97"/>
              </w:rPr>
              <w:t>Date Fair</w:t>
            </w: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3"/>
          </w:tcPr>
          <w:p>
            <w:pPr>
              <w:jc w:val="center"/>
              <w:ind w:right="20"/>
              <w:spacing w:after="0" w:line="116" w:lineRule="exact"/>
              <w:rPr>
                <w:sz w:val="20"/>
                <w:szCs w:val="20"/>
                <w:color w:val="auto"/>
              </w:rPr>
            </w:pPr>
            <w:r>
              <w:rPr>
                <w:rFonts w:ascii="Arial" w:cs="Arial" w:eastAsia="Arial" w:hAnsi="Arial"/>
                <w:sz w:val="11"/>
                <w:szCs w:val="11"/>
                <w:b w:val="1"/>
                <w:bCs w:val="1"/>
                <w:color w:val="1A475F"/>
                <w:w w:val="98"/>
              </w:rPr>
              <w:t>Non-Equity</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5"/>
          </w:tcPr>
          <w:p>
            <w:pPr>
              <w:jc w:val="center"/>
              <w:spacing w:after="0" w:line="116" w:lineRule="exact"/>
              <w:rPr>
                <w:sz w:val="20"/>
                <w:szCs w:val="20"/>
                <w:color w:val="auto"/>
              </w:rPr>
            </w:pPr>
            <w:r>
              <w:rPr>
                <w:rFonts w:ascii="Arial" w:cs="Arial" w:eastAsia="Arial" w:hAnsi="Arial"/>
                <w:sz w:val="11"/>
                <w:szCs w:val="11"/>
                <w:b w:val="1"/>
                <w:bCs w:val="1"/>
                <w:color w:val="1A475F"/>
                <w:w w:val="97"/>
              </w:rPr>
              <w:t>Payouts Under Equity</w:t>
            </w:r>
          </w:p>
        </w:tc>
        <w:tc>
          <w:tcPr>
            <w:tcW w:w="80" w:type="dxa"/>
            <w:vAlign w:val="bottom"/>
          </w:tcPr>
          <w:p>
            <w:pPr>
              <w:spacing w:after="0"/>
              <w:rPr>
                <w:sz w:val="10"/>
                <w:szCs w:val="10"/>
                <w:color w:val="auto"/>
              </w:rPr>
            </w:pPr>
          </w:p>
        </w:tc>
        <w:tc>
          <w:tcPr>
            <w:tcW w:w="50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6"/>
              </w:rPr>
              <w:t>Number</w:t>
            </w:r>
          </w:p>
        </w:tc>
        <w:tc>
          <w:tcPr>
            <w:tcW w:w="8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8"/>
              </w:rPr>
              <w:t>Number of</w:t>
            </w:r>
          </w:p>
        </w:tc>
        <w:tc>
          <w:tcPr>
            <w:tcW w:w="80" w:type="dxa"/>
            <w:vAlign w:val="bottom"/>
          </w:tcPr>
          <w:p>
            <w:pPr>
              <w:spacing w:after="0"/>
              <w:rPr>
                <w:sz w:val="10"/>
                <w:szCs w:val="10"/>
                <w:color w:val="auto"/>
              </w:rPr>
            </w:pPr>
          </w:p>
        </w:tc>
        <w:tc>
          <w:tcPr>
            <w:tcW w:w="46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9"/>
              </w:rPr>
              <w:t>or Base</w:t>
            </w:r>
          </w:p>
        </w:tc>
        <w:tc>
          <w:tcPr>
            <w:tcW w:w="80" w:type="dxa"/>
            <w:vAlign w:val="bottom"/>
          </w:tcPr>
          <w:p>
            <w:pPr>
              <w:spacing w:after="0"/>
              <w:rPr>
                <w:sz w:val="10"/>
                <w:szCs w:val="10"/>
                <w:color w:val="auto"/>
              </w:rPr>
            </w:pPr>
          </w:p>
        </w:tc>
        <w:tc>
          <w:tcPr>
            <w:tcW w:w="560" w:type="dxa"/>
            <w:vAlign w:val="bottom"/>
            <w:gridSpan w:val="2"/>
          </w:tcPr>
          <w:p>
            <w:pPr>
              <w:jc w:val="center"/>
              <w:ind w:right="60"/>
              <w:spacing w:after="0" w:line="116" w:lineRule="exact"/>
              <w:rPr>
                <w:sz w:val="20"/>
                <w:szCs w:val="20"/>
                <w:color w:val="auto"/>
              </w:rPr>
            </w:pPr>
            <w:r>
              <w:rPr>
                <w:rFonts w:ascii="Arial" w:cs="Arial" w:eastAsia="Arial" w:hAnsi="Arial"/>
                <w:sz w:val="11"/>
                <w:szCs w:val="11"/>
                <w:b w:val="1"/>
                <w:bCs w:val="1"/>
                <w:color w:val="1A475F"/>
                <w:w w:val="98"/>
              </w:rPr>
              <w:t>Value of</w:t>
            </w: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5"/>
          </w:tcPr>
          <w:p>
            <w:pPr>
              <w:jc w:val="center"/>
              <w:spacing w:after="0" w:line="116" w:lineRule="exact"/>
              <w:rPr>
                <w:sz w:val="20"/>
                <w:szCs w:val="20"/>
                <w:color w:val="auto"/>
              </w:rPr>
            </w:pPr>
            <w:r>
              <w:rPr>
                <w:rFonts w:ascii="Arial" w:cs="Arial" w:eastAsia="Arial" w:hAnsi="Arial"/>
                <w:sz w:val="11"/>
                <w:szCs w:val="11"/>
                <w:b w:val="1"/>
                <w:bCs w:val="1"/>
                <w:color w:val="1A475F"/>
                <w:w w:val="97"/>
              </w:rPr>
              <w:t>Incentive Plan Awards</w:t>
            </w:r>
          </w:p>
        </w:tc>
        <w:tc>
          <w:tcPr>
            <w:tcW w:w="100" w:type="dxa"/>
            <w:vAlign w:val="bottom"/>
          </w:tcPr>
          <w:p>
            <w:pPr>
              <w:spacing w:after="0"/>
              <w:rPr>
                <w:sz w:val="10"/>
                <w:szCs w:val="10"/>
                <w:color w:val="auto"/>
              </w:rPr>
            </w:pPr>
          </w:p>
        </w:tc>
        <w:tc>
          <w:tcPr>
            <w:tcW w:w="1540" w:type="dxa"/>
            <w:vAlign w:val="bottom"/>
            <w:gridSpan w:val="5"/>
          </w:tcPr>
          <w:p>
            <w:pPr>
              <w:jc w:val="center"/>
              <w:spacing w:after="0" w:line="116" w:lineRule="exact"/>
              <w:rPr>
                <w:sz w:val="20"/>
                <w:szCs w:val="20"/>
                <w:color w:val="auto"/>
              </w:rPr>
            </w:pPr>
            <w:r>
              <w:rPr>
                <w:rFonts w:ascii="Arial" w:cs="Arial" w:eastAsia="Arial" w:hAnsi="Arial"/>
                <w:sz w:val="11"/>
                <w:szCs w:val="11"/>
                <w:b w:val="1"/>
                <w:bCs w:val="1"/>
                <w:color w:val="1A475F"/>
                <w:w w:val="97"/>
              </w:rPr>
              <w:t>Incentive Plan Awards</w:t>
            </w:r>
          </w:p>
        </w:tc>
        <w:tc>
          <w:tcPr>
            <w:tcW w:w="580" w:type="dxa"/>
            <w:vAlign w:val="bottom"/>
            <w:gridSpan w:val="2"/>
          </w:tcPr>
          <w:p>
            <w:pPr>
              <w:jc w:val="center"/>
              <w:ind w:left="6"/>
              <w:spacing w:after="0" w:line="116" w:lineRule="exact"/>
              <w:rPr>
                <w:sz w:val="20"/>
                <w:szCs w:val="20"/>
                <w:color w:val="auto"/>
              </w:rPr>
            </w:pPr>
            <w:r>
              <w:rPr>
                <w:rFonts w:ascii="Arial" w:cs="Arial" w:eastAsia="Arial" w:hAnsi="Arial"/>
                <w:sz w:val="11"/>
                <w:szCs w:val="11"/>
                <w:b w:val="1"/>
                <w:bCs w:val="1"/>
                <w:color w:val="1A475F"/>
                <w:w w:val="95"/>
              </w:rPr>
              <w:t>of Shares</w:t>
            </w:r>
          </w:p>
        </w:tc>
        <w:tc>
          <w:tcPr>
            <w:tcW w:w="8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8"/>
              </w:rPr>
              <w:t>Securities</w:t>
            </w:r>
          </w:p>
        </w:tc>
        <w:tc>
          <w:tcPr>
            <w:tcW w:w="80" w:type="dxa"/>
            <w:vAlign w:val="bottom"/>
          </w:tcPr>
          <w:p>
            <w:pPr>
              <w:spacing w:after="0"/>
              <w:rPr>
                <w:sz w:val="10"/>
                <w:szCs w:val="10"/>
                <w:color w:val="auto"/>
              </w:rPr>
            </w:pPr>
          </w:p>
        </w:tc>
        <w:tc>
          <w:tcPr>
            <w:tcW w:w="46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9"/>
              </w:rPr>
              <w:t>Price of</w:t>
            </w:r>
          </w:p>
        </w:tc>
        <w:tc>
          <w:tcPr>
            <w:tcW w:w="640" w:type="dxa"/>
            <w:vAlign w:val="bottom"/>
            <w:gridSpan w:val="3"/>
          </w:tcPr>
          <w:p>
            <w:pPr>
              <w:jc w:val="center"/>
              <w:spacing w:after="0" w:line="116" w:lineRule="exact"/>
              <w:rPr>
                <w:sz w:val="20"/>
                <w:szCs w:val="20"/>
                <w:color w:val="auto"/>
              </w:rPr>
            </w:pPr>
            <w:r>
              <w:rPr>
                <w:rFonts w:ascii="Arial" w:cs="Arial" w:eastAsia="Arial" w:hAnsi="Arial"/>
                <w:sz w:val="11"/>
                <w:szCs w:val="11"/>
                <w:b w:val="1"/>
                <w:bCs w:val="1"/>
                <w:color w:val="1A475F"/>
                <w:w w:val="95"/>
              </w:rPr>
              <w:t>Stock and</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vMerge w:val="restart"/>
          </w:tcPr>
          <w:p>
            <w:pPr>
              <w:jc w:val="center"/>
              <w:spacing w:after="0" w:line="101" w:lineRule="exact"/>
              <w:rPr>
                <w:sz w:val="20"/>
                <w:szCs w:val="20"/>
                <w:color w:val="auto"/>
              </w:rPr>
            </w:pPr>
            <w:r>
              <w:rPr>
                <w:rFonts w:ascii="Arial" w:cs="Arial" w:eastAsia="Arial" w:hAnsi="Arial"/>
                <w:sz w:val="11"/>
                <w:szCs w:val="11"/>
                <w:b w:val="1"/>
                <w:bCs w:val="1"/>
                <w:color w:val="1A475F"/>
              </w:rPr>
              <w:t>of Stock</w:t>
            </w:r>
          </w:p>
        </w:tc>
        <w:tc>
          <w:tcPr>
            <w:tcW w:w="640" w:type="dxa"/>
            <w:vAlign w:val="bottom"/>
            <w:gridSpan w:val="2"/>
            <w:vMerge w:val="restart"/>
          </w:tcPr>
          <w:p>
            <w:pPr>
              <w:jc w:val="center"/>
              <w:ind w:left="26"/>
              <w:spacing w:after="0" w:line="101" w:lineRule="exact"/>
              <w:rPr>
                <w:sz w:val="20"/>
                <w:szCs w:val="20"/>
                <w:color w:val="auto"/>
              </w:rPr>
            </w:pPr>
            <w:r>
              <w:rPr>
                <w:rFonts w:ascii="Arial" w:cs="Arial" w:eastAsia="Arial" w:hAnsi="Arial"/>
                <w:sz w:val="11"/>
                <w:szCs w:val="11"/>
                <w:b w:val="1"/>
                <w:bCs w:val="1"/>
                <w:color w:val="1A475F"/>
                <w:w w:val="97"/>
              </w:rPr>
              <w:t>Underlying</w:t>
            </w:r>
          </w:p>
        </w:tc>
        <w:tc>
          <w:tcPr>
            <w:tcW w:w="80" w:type="dxa"/>
            <w:vAlign w:val="bottom"/>
          </w:tcPr>
          <w:p>
            <w:pPr>
              <w:spacing w:after="0"/>
              <w:rPr>
                <w:sz w:val="2"/>
                <w:szCs w:val="2"/>
                <w:color w:val="auto"/>
              </w:rPr>
            </w:pPr>
          </w:p>
        </w:tc>
        <w:tc>
          <w:tcPr>
            <w:tcW w:w="460" w:type="dxa"/>
            <w:vAlign w:val="bottom"/>
            <w:vMerge w:val="restart"/>
          </w:tcPr>
          <w:p>
            <w:pPr>
              <w:jc w:val="center"/>
              <w:spacing w:after="0" w:line="101" w:lineRule="exact"/>
              <w:rPr>
                <w:sz w:val="20"/>
                <w:szCs w:val="20"/>
                <w:color w:val="auto"/>
              </w:rPr>
            </w:pPr>
            <w:r>
              <w:rPr>
                <w:rFonts w:ascii="Arial" w:cs="Arial" w:eastAsia="Arial" w:hAnsi="Arial"/>
                <w:sz w:val="11"/>
                <w:szCs w:val="11"/>
                <w:b w:val="1"/>
                <w:bCs w:val="1"/>
                <w:color w:val="1A475F"/>
                <w:w w:val="95"/>
              </w:rPr>
              <w:t>Option</w:t>
            </w:r>
          </w:p>
        </w:tc>
        <w:tc>
          <w:tcPr>
            <w:tcW w:w="80" w:type="dxa"/>
            <w:vAlign w:val="bottom"/>
          </w:tcPr>
          <w:p>
            <w:pPr>
              <w:spacing w:after="0"/>
              <w:rPr>
                <w:sz w:val="2"/>
                <w:szCs w:val="2"/>
                <w:color w:val="auto"/>
              </w:rPr>
            </w:pPr>
          </w:p>
        </w:tc>
        <w:tc>
          <w:tcPr>
            <w:tcW w:w="560" w:type="dxa"/>
            <w:vAlign w:val="bottom"/>
            <w:gridSpan w:val="2"/>
            <w:vMerge w:val="restart"/>
          </w:tcPr>
          <w:p>
            <w:pPr>
              <w:jc w:val="center"/>
              <w:ind w:right="60"/>
              <w:spacing w:after="0" w:line="101" w:lineRule="exact"/>
              <w:rPr>
                <w:sz w:val="20"/>
                <w:szCs w:val="20"/>
                <w:color w:val="auto"/>
              </w:rPr>
            </w:pPr>
            <w:r>
              <w:rPr>
                <w:rFonts w:ascii="Arial" w:cs="Arial" w:eastAsia="Arial" w:hAnsi="Arial"/>
                <w:sz w:val="11"/>
                <w:szCs w:val="11"/>
                <w:b w:val="1"/>
                <w:bCs w:val="1"/>
                <w:color w:val="1A475F"/>
                <w:w w:val="95"/>
              </w:rPr>
              <w:t>Option</w:t>
            </w:r>
          </w:p>
        </w:tc>
        <w:tc>
          <w:tcPr>
            <w:tcW w:w="0" w:type="dxa"/>
            <w:vAlign w:val="bottom"/>
          </w:tcPr>
          <w:p>
            <w:pPr>
              <w:spacing w:after="0"/>
              <w:rPr>
                <w:sz w:val="1"/>
                <w:szCs w:val="1"/>
                <w:color w:val="auto"/>
              </w:rPr>
            </w:pPr>
          </w:p>
        </w:tc>
      </w:tr>
      <w:tr>
        <w:trPr>
          <w:trHeight w:val="57"/>
        </w:trPr>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1A475F"/>
                <w:w w:val="95"/>
              </w:rPr>
              <w:t>Grant</w:t>
            </w:r>
          </w:p>
        </w:tc>
        <w:tc>
          <w:tcPr>
            <w:tcW w:w="520" w:type="dxa"/>
            <w:vAlign w:val="bottom"/>
            <w:vMerge w:val="restart"/>
          </w:tcPr>
          <w:p>
            <w:pPr>
              <w:jc w:val="center"/>
              <w:spacing w:after="0"/>
              <w:rPr>
                <w:sz w:val="20"/>
                <w:szCs w:val="20"/>
                <w:color w:val="auto"/>
              </w:rPr>
            </w:pPr>
            <w:r>
              <w:rPr>
                <w:rFonts w:ascii="Arial" w:cs="Arial" w:eastAsia="Arial" w:hAnsi="Arial"/>
                <w:sz w:val="11"/>
                <w:szCs w:val="11"/>
                <w:b w:val="1"/>
                <w:bCs w:val="1"/>
                <w:color w:val="1A475F"/>
                <w:w w:val="96"/>
              </w:rPr>
              <w:t>Approval</w:t>
            </w:r>
          </w:p>
        </w:tc>
        <w:tc>
          <w:tcPr>
            <w:tcW w:w="640" w:type="dxa"/>
            <w:vAlign w:val="bottom"/>
            <w:gridSpan w:val="2"/>
            <w:vMerge w:val="restart"/>
          </w:tcPr>
          <w:p>
            <w:pPr>
              <w:jc w:val="center"/>
              <w:ind w:left="27"/>
              <w:spacing w:after="0"/>
              <w:rPr>
                <w:sz w:val="20"/>
                <w:szCs w:val="20"/>
                <w:color w:val="auto"/>
              </w:rPr>
            </w:pPr>
            <w:r>
              <w:rPr>
                <w:rFonts w:ascii="Arial" w:cs="Arial" w:eastAsia="Arial" w:hAnsi="Arial"/>
                <w:sz w:val="11"/>
                <w:szCs w:val="11"/>
                <w:b w:val="1"/>
                <w:bCs w:val="1"/>
                <w:color w:val="1A475F"/>
                <w:w w:val="97"/>
              </w:rPr>
              <w:t>Threshold</w:t>
            </w:r>
          </w:p>
        </w:tc>
        <w:tc>
          <w:tcPr>
            <w:tcW w:w="120" w:type="dxa"/>
            <w:vAlign w:val="bottom"/>
          </w:tcPr>
          <w:p>
            <w:pPr>
              <w:spacing w:after="0"/>
              <w:rPr>
                <w:sz w:val="4"/>
                <w:szCs w:val="4"/>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1A475F"/>
              </w:rPr>
              <w:t>Target</w:t>
            </w: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1A475F"/>
                <w:w w:val="98"/>
              </w:rPr>
              <w:t>Maximum</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1A475F"/>
                <w:w w:val="97"/>
              </w:rPr>
              <w:t>Threshold</w:t>
            </w:r>
          </w:p>
        </w:tc>
        <w:tc>
          <w:tcPr>
            <w:tcW w:w="400" w:type="dxa"/>
            <w:vAlign w:val="bottom"/>
            <w:gridSpan w:val="2"/>
            <w:vMerge w:val="restart"/>
          </w:tcPr>
          <w:p>
            <w:pPr>
              <w:jc w:val="center"/>
              <w:ind w:left="26"/>
              <w:spacing w:after="0"/>
              <w:rPr>
                <w:sz w:val="20"/>
                <w:szCs w:val="20"/>
                <w:color w:val="auto"/>
              </w:rPr>
            </w:pPr>
            <w:r>
              <w:rPr>
                <w:rFonts w:ascii="Arial" w:cs="Arial" w:eastAsia="Arial" w:hAnsi="Arial"/>
                <w:sz w:val="11"/>
                <w:szCs w:val="11"/>
                <w:b w:val="1"/>
                <w:bCs w:val="1"/>
                <w:color w:val="1A475F"/>
                <w:w w:val="95"/>
              </w:rPr>
              <w:t>Target</w:t>
            </w:r>
          </w:p>
        </w:tc>
        <w:tc>
          <w:tcPr>
            <w:tcW w:w="6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1A475F"/>
                <w:w w:val="98"/>
              </w:rPr>
              <w:t>Maximum</w:t>
            </w:r>
          </w:p>
        </w:tc>
        <w:tc>
          <w:tcPr>
            <w:tcW w:w="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spacing w:after="0"/>
              <w:rPr>
                <w:sz w:val="20"/>
                <w:szCs w:val="20"/>
                <w:color w:val="auto"/>
              </w:rPr>
            </w:pPr>
            <w:r>
              <w:rPr>
                <w:rFonts w:ascii="Arial" w:cs="Arial" w:eastAsia="Arial" w:hAnsi="Arial"/>
                <w:sz w:val="11"/>
                <w:szCs w:val="11"/>
                <w:b w:val="1"/>
                <w:bCs w:val="1"/>
                <w:color w:val="1A475F"/>
              </w:rPr>
              <w:t>Name</w:t>
            </w:r>
          </w:p>
        </w:tc>
        <w:tc>
          <w:tcPr>
            <w:tcW w:w="60" w:type="dxa"/>
            <w:vAlign w:val="bottom"/>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1"/>
                <w:szCs w:val="11"/>
                <w:b w:val="1"/>
                <w:bCs w:val="1"/>
                <w:color w:val="1A475F"/>
              </w:rPr>
              <w:t>Type of Award</w:t>
            </w: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6"/>
              </w:rPr>
              <w:t>or Units</w:t>
            </w:r>
          </w:p>
        </w:tc>
        <w:tc>
          <w:tcPr>
            <w:tcW w:w="8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6"/>
              </w:rPr>
              <w:t>Options</w:t>
            </w:r>
          </w:p>
        </w:tc>
        <w:tc>
          <w:tcPr>
            <w:tcW w:w="80" w:type="dxa"/>
            <w:vAlign w:val="bottom"/>
          </w:tcPr>
          <w:p>
            <w:pPr>
              <w:spacing w:after="0"/>
              <w:rPr>
                <w:sz w:val="10"/>
                <w:szCs w:val="10"/>
                <w:color w:val="auto"/>
              </w:rPr>
            </w:pPr>
          </w:p>
        </w:tc>
        <w:tc>
          <w:tcPr>
            <w:tcW w:w="46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5"/>
              </w:rPr>
              <w:t>Awards</w:t>
            </w:r>
          </w:p>
        </w:tc>
        <w:tc>
          <w:tcPr>
            <w:tcW w:w="80" w:type="dxa"/>
            <w:vAlign w:val="bottom"/>
          </w:tcPr>
          <w:p>
            <w:pPr>
              <w:spacing w:after="0"/>
              <w:rPr>
                <w:sz w:val="10"/>
                <w:szCs w:val="10"/>
                <w:color w:val="auto"/>
              </w:rPr>
            </w:pPr>
          </w:p>
        </w:tc>
        <w:tc>
          <w:tcPr>
            <w:tcW w:w="560" w:type="dxa"/>
            <w:vAlign w:val="bottom"/>
            <w:gridSpan w:val="2"/>
          </w:tcPr>
          <w:p>
            <w:pPr>
              <w:jc w:val="center"/>
              <w:ind w:right="60"/>
              <w:spacing w:after="0" w:line="116" w:lineRule="exact"/>
              <w:rPr>
                <w:sz w:val="20"/>
                <w:szCs w:val="20"/>
                <w:color w:val="auto"/>
              </w:rPr>
            </w:pPr>
            <w:r>
              <w:rPr>
                <w:rFonts w:ascii="Arial" w:cs="Arial" w:eastAsia="Arial" w:hAnsi="Arial"/>
                <w:sz w:val="11"/>
                <w:szCs w:val="11"/>
                <w:b w:val="1"/>
                <w:bCs w:val="1"/>
                <w:color w:val="1A475F"/>
                <w:w w:val="95"/>
              </w:rPr>
              <w:t>Awards</w:t>
            </w:r>
          </w:p>
        </w:tc>
        <w:tc>
          <w:tcPr>
            <w:tcW w:w="0" w:type="dxa"/>
            <w:vAlign w:val="bottom"/>
          </w:tcPr>
          <w:p>
            <w:pPr>
              <w:spacing w:after="0"/>
              <w:rPr>
                <w:sz w:val="1"/>
                <w:szCs w:val="1"/>
                <w:color w:val="auto"/>
              </w:rPr>
            </w:pPr>
          </w:p>
        </w:tc>
      </w:tr>
      <w:tr>
        <w:trPr>
          <w:trHeight w:val="131"/>
        </w:trPr>
        <w:tc>
          <w:tcPr>
            <w:tcW w:w="13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1A475F"/>
              </w:rPr>
              <w:t>Date</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1A475F"/>
              </w:rPr>
              <w:t>Date</w:t>
            </w:r>
          </w:p>
        </w:tc>
        <w:tc>
          <w:tcPr>
            <w:tcW w:w="640" w:type="dxa"/>
            <w:vAlign w:val="bottom"/>
            <w:gridSpan w:val="2"/>
          </w:tcPr>
          <w:p>
            <w:pPr>
              <w:jc w:val="center"/>
              <w:ind w:left="47"/>
              <w:spacing w:after="0" w:line="131" w:lineRule="exact"/>
              <w:rPr>
                <w:sz w:val="20"/>
                <w:szCs w:val="20"/>
                <w:color w:val="auto"/>
              </w:rPr>
            </w:pPr>
            <w:r>
              <w:rPr>
                <w:rFonts w:ascii="Arial" w:cs="Arial" w:eastAsia="Arial" w:hAnsi="Arial"/>
                <w:sz w:val="10"/>
                <w:szCs w:val="10"/>
                <w:b w:val="1"/>
                <w:bCs w:val="1"/>
                <w:color w:val="1A475F"/>
                <w:w w:val="89"/>
              </w:rPr>
              <w:t>($)</w:t>
            </w:r>
            <w:r>
              <w:rPr>
                <w:rFonts w:ascii="Arial" w:cs="Arial" w:eastAsia="Arial" w:hAnsi="Arial"/>
                <w:sz w:val="15"/>
                <w:szCs w:val="15"/>
                <w:b w:val="1"/>
                <w:bCs w:val="1"/>
                <w:color w:val="1A475F"/>
                <w:w w:val="89"/>
                <w:vertAlign w:val="superscript"/>
              </w:rPr>
              <w:t>(1)</w:t>
            </w:r>
          </w:p>
        </w:tc>
        <w:tc>
          <w:tcPr>
            <w:tcW w:w="640" w:type="dxa"/>
            <w:vAlign w:val="bottom"/>
            <w:gridSpan w:val="2"/>
          </w:tcPr>
          <w:p>
            <w:pPr>
              <w:jc w:val="center"/>
              <w:ind w:left="47"/>
              <w:spacing w:after="0" w:line="131" w:lineRule="exact"/>
              <w:rPr>
                <w:sz w:val="20"/>
                <w:szCs w:val="20"/>
                <w:color w:val="auto"/>
              </w:rPr>
            </w:pPr>
            <w:r>
              <w:rPr>
                <w:rFonts w:ascii="Arial" w:cs="Arial" w:eastAsia="Arial" w:hAnsi="Arial"/>
                <w:sz w:val="10"/>
                <w:szCs w:val="10"/>
                <w:b w:val="1"/>
                <w:bCs w:val="1"/>
                <w:color w:val="1A475F"/>
                <w:w w:val="89"/>
              </w:rPr>
              <w:t>($)</w:t>
            </w:r>
            <w:r>
              <w:rPr>
                <w:rFonts w:ascii="Arial" w:cs="Arial" w:eastAsia="Arial" w:hAnsi="Arial"/>
                <w:sz w:val="15"/>
                <w:szCs w:val="15"/>
                <w:b w:val="1"/>
                <w:bCs w:val="1"/>
                <w:color w:val="1A475F"/>
                <w:w w:val="89"/>
                <w:vertAlign w:val="superscript"/>
              </w:rPr>
              <w:t>(1)</w:t>
            </w:r>
          </w:p>
        </w:tc>
        <w:tc>
          <w:tcPr>
            <w:tcW w:w="120" w:type="dxa"/>
            <w:vAlign w:val="bottom"/>
          </w:tcPr>
          <w:p>
            <w:pPr>
              <w:spacing w:after="0"/>
              <w:rPr>
                <w:sz w:val="11"/>
                <w:szCs w:val="11"/>
                <w:color w:val="auto"/>
              </w:rPr>
            </w:pPr>
          </w:p>
        </w:tc>
        <w:tc>
          <w:tcPr>
            <w:tcW w:w="520" w:type="dxa"/>
            <w:vAlign w:val="bottom"/>
          </w:tcPr>
          <w:p>
            <w:pPr>
              <w:ind w:left="140"/>
              <w:spacing w:after="0" w:line="131" w:lineRule="exact"/>
              <w:rPr>
                <w:sz w:val="20"/>
                <w:szCs w:val="20"/>
                <w:color w:val="auto"/>
              </w:rPr>
            </w:pPr>
            <w:r>
              <w:rPr>
                <w:rFonts w:ascii="Arial" w:cs="Arial" w:eastAsia="Arial" w:hAnsi="Arial"/>
                <w:sz w:val="10"/>
                <w:szCs w:val="10"/>
                <w:b w:val="1"/>
                <w:bCs w:val="1"/>
                <w:color w:val="1A475F"/>
              </w:rPr>
              <w:t>($)</w:t>
            </w:r>
            <w:r>
              <w:rPr>
                <w:rFonts w:ascii="Arial" w:cs="Arial" w:eastAsia="Arial" w:hAnsi="Arial"/>
                <w:sz w:val="15"/>
                <w:szCs w:val="15"/>
                <w:b w:val="1"/>
                <w:bCs w:val="1"/>
                <w:color w:val="1A475F"/>
                <w:vertAlign w:val="superscript"/>
              </w:rPr>
              <w:t>(1)</w:t>
            </w:r>
          </w:p>
        </w:tc>
        <w:tc>
          <w:tcPr>
            <w:tcW w:w="640" w:type="dxa"/>
            <w:vAlign w:val="bottom"/>
            <w:gridSpan w:val="2"/>
          </w:tcPr>
          <w:p>
            <w:pPr>
              <w:jc w:val="center"/>
              <w:ind w:left="46"/>
              <w:spacing w:after="0" w:line="131" w:lineRule="exact"/>
              <w:rPr>
                <w:sz w:val="20"/>
                <w:szCs w:val="20"/>
                <w:color w:val="auto"/>
              </w:rPr>
            </w:pPr>
            <w:r>
              <w:rPr>
                <w:rFonts w:ascii="Arial" w:cs="Arial" w:eastAsia="Arial" w:hAnsi="Arial"/>
                <w:sz w:val="10"/>
                <w:szCs w:val="10"/>
                <w:b w:val="1"/>
                <w:bCs w:val="1"/>
                <w:color w:val="1A475F"/>
                <w:w w:val="89"/>
              </w:rPr>
              <w:t>(#)</w:t>
            </w:r>
            <w:r>
              <w:rPr>
                <w:rFonts w:ascii="Arial" w:cs="Arial" w:eastAsia="Arial" w:hAnsi="Arial"/>
                <w:sz w:val="15"/>
                <w:szCs w:val="15"/>
                <w:b w:val="1"/>
                <w:bCs w:val="1"/>
                <w:color w:val="1A475F"/>
                <w:w w:val="89"/>
                <w:vertAlign w:val="superscript"/>
              </w:rPr>
              <w:t>(2)</w:t>
            </w:r>
          </w:p>
        </w:tc>
        <w:tc>
          <w:tcPr>
            <w:tcW w:w="400" w:type="dxa"/>
            <w:vAlign w:val="bottom"/>
            <w:gridSpan w:val="2"/>
          </w:tcPr>
          <w:p>
            <w:pPr>
              <w:jc w:val="center"/>
              <w:ind w:left="26"/>
              <w:spacing w:after="0" w:line="131" w:lineRule="exact"/>
              <w:rPr>
                <w:sz w:val="20"/>
                <w:szCs w:val="20"/>
                <w:color w:val="auto"/>
              </w:rPr>
            </w:pPr>
            <w:r>
              <w:rPr>
                <w:rFonts w:ascii="Arial" w:cs="Arial" w:eastAsia="Arial" w:hAnsi="Arial"/>
                <w:sz w:val="10"/>
                <w:szCs w:val="10"/>
                <w:b w:val="1"/>
                <w:bCs w:val="1"/>
                <w:color w:val="1A475F"/>
                <w:w w:val="97"/>
              </w:rPr>
              <w:t>(#)</w:t>
            </w:r>
            <w:r>
              <w:rPr>
                <w:rFonts w:ascii="Arial" w:cs="Arial" w:eastAsia="Arial" w:hAnsi="Arial"/>
                <w:sz w:val="15"/>
                <w:szCs w:val="15"/>
                <w:b w:val="1"/>
                <w:bCs w:val="1"/>
                <w:color w:val="1A475F"/>
                <w:w w:val="97"/>
                <w:vertAlign w:val="superscript"/>
              </w:rPr>
              <w:t>(2)</w:t>
            </w:r>
          </w:p>
        </w:tc>
        <w:tc>
          <w:tcPr>
            <w:tcW w:w="600" w:type="dxa"/>
            <w:vAlign w:val="bottom"/>
            <w:gridSpan w:val="2"/>
          </w:tcPr>
          <w:p>
            <w:pPr>
              <w:jc w:val="center"/>
              <w:ind w:left="26"/>
              <w:spacing w:after="0" w:line="131" w:lineRule="exact"/>
              <w:rPr>
                <w:sz w:val="20"/>
                <w:szCs w:val="20"/>
                <w:color w:val="auto"/>
              </w:rPr>
            </w:pPr>
            <w:r>
              <w:rPr>
                <w:rFonts w:ascii="Arial" w:cs="Arial" w:eastAsia="Arial" w:hAnsi="Arial"/>
                <w:sz w:val="10"/>
                <w:szCs w:val="10"/>
                <w:b w:val="1"/>
                <w:bCs w:val="1"/>
                <w:color w:val="1A475F"/>
                <w:w w:val="97"/>
              </w:rPr>
              <w:t>(#)</w:t>
            </w:r>
            <w:r>
              <w:rPr>
                <w:rFonts w:ascii="Arial" w:cs="Arial" w:eastAsia="Arial" w:hAnsi="Arial"/>
                <w:sz w:val="15"/>
                <w:szCs w:val="15"/>
                <w:b w:val="1"/>
                <w:bCs w:val="1"/>
                <w:color w:val="1A475F"/>
                <w:w w:val="97"/>
                <w:vertAlign w:val="superscript"/>
              </w:rPr>
              <w:t>(2)</w:t>
            </w:r>
          </w:p>
        </w:tc>
        <w:tc>
          <w:tcPr>
            <w:tcW w:w="580" w:type="dxa"/>
            <w:vAlign w:val="bottom"/>
            <w:gridSpan w:val="2"/>
          </w:tcPr>
          <w:p>
            <w:pPr>
              <w:jc w:val="center"/>
              <w:ind w:left="6"/>
              <w:spacing w:after="0" w:line="131" w:lineRule="exact"/>
              <w:rPr>
                <w:sz w:val="20"/>
                <w:szCs w:val="20"/>
                <w:color w:val="auto"/>
              </w:rPr>
            </w:pPr>
            <w:r>
              <w:rPr>
                <w:rFonts w:ascii="Arial" w:cs="Arial" w:eastAsia="Arial" w:hAnsi="Arial"/>
                <w:sz w:val="10"/>
                <w:szCs w:val="10"/>
                <w:b w:val="1"/>
                <w:bCs w:val="1"/>
                <w:color w:val="1A475F"/>
                <w:w w:val="97"/>
              </w:rPr>
              <w:t>(#)</w:t>
            </w:r>
            <w:r>
              <w:rPr>
                <w:rFonts w:ascii="Arial" w:cs="Arial" w:eastAsia="Arial" w:hAnsi="Arial"/>
                <w:sz w:val="15"/>
                <w:szCs w:val="15"/>
                <w:b w:val="1"/>
                <w:bCs w:val="1"/>
                <w:color w:val="1A475F"/>
                <w:w w:val="97"/>
                <w:vertAlign w:val="superscript"/>
              </w:rPr>
              <w:t>(3)</w:t>
            </w:r>
          </w:p>
        </w:tc>
        <w:tc>
          <w:tcPr>
            <w:tcW w:w="640" w:type="dxa"/>
            <w:vAlign w:val="bottom"/>
            <w:gridSpan w:val="2"/>
          </w:tcPr>
          <w:p>
            <w:pPr>
              <w:jc w:val="center"/>
              <w:ind w:left="6"/>
              <w:spacing w:after="0" w:line="131" w:lineRule="exact"/>
              <w:rPr>
                <w:sz w:val="20"/>
                <w:szCs w:val="20"/>
                <w:color w:val="auto"/>
              </w:rPr>
            </w:pPr>
            <w:r>
              <w:rPr>
                <w:rFonts w:ascii="Arial" w:cs="Arial" w:eastAsia="Arial" w:hAnsi="Arial"/>
                <w:sz w:val="10"/>
                <w:szCs w:val="10"/>
                <w:b w:val="1"/>
                <w:bCs w:val="1"/>
                <w:color w:val="1A475F"/>
                <w:w w:val="89"/>
              </w:rPr>
              <w:t>(#)</w:t>
            </w:r>
            <w:r>
              <w:rPr>
                <w:rFonts w:ascii="Arial" w:cs="Arial" w:eastAsia="Arial" w:hAnsi="Arial"/>
                <w:sz w:val="15"/>
                <w:szCs w:val="15"/>
                <w:b w:val="1"/>
                <w:bCs w:val="1"/>
                <w:color w:val="1A475F"/>
                <w:w w:val="89"/>
                <w:vertAlign w:val="superscript"/>
              </w:rPr>
              <w:t>(4)</w:t>
            </w:r>
          </w:p>
        </w:tc>
        <w:tc>
          <w:tcPr>
            <w:tcW w:w="8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0"/>
                <w:szCs w:val="10"/>
                <w:b w:val="1"/>
                <w:bCs w:val="1"/>
                <w:color w:val="1A475F"/>
                <w:w w:val="99"/>
              </w:rPr>
              <w:t>($/Sh)</w:t>
            </w:r>
            <w:r>
              <w:rPr>
                <w:rFonts w:ascii="Arial" w:cs="Arial" w:eastAsia="Arial" w:hAnsi="Arial"/>
                <w:sz w:val="15"/>
                <w:szCs w:val="15"/>
                <w:b w:val="1"/>
                <w:bCs w:val="1"/>
                <w:color w:val="1A475F"/>
                <w:w w:val="99"/>
                <w:vertAlign w:val="superscript"/>
              </w:rPr>
              <w:t>(5)</w:t>
            </w:r>
          </w:p>
        </w:tc>
        <w:tc>
          <w:tcPr>
            <w:tcW w:w="600" w:type="dxa"/>
            <w:vAlign w:val="bottom"/>
            <w:gridSpan w:val="2"/>
          </w:tcPr>
          <w:p>
            <w:pPr>
              <w:jc w:val="center"/>
              <w:ind w:left="6"/>
              <w:spacing w:after="0" w:line="131" w:lineRule="exact"/>
              <w:rPr>
                <w:sz w:val="20"/>
                <w:szCs w:val="20"/>
                <w:color w:val="auto"/>
              </w:rPr>
            </w:pPr>
            <w:r>
              <w:rPr>
                <w:rFonts w:ascii="Arial" w:cs="Arial" w:eastAsia="Arial" w:hAnsi="Arial"/>
                <w:sz w:val="10"/>
                <w:szCs w:val="10"/>
                <w:b w:val="1"/>
                <w:bCs w:val="1"/>
                <w:color w:val="1A475F"/>
                <w:w w:val="89"/>
              </w:rPr>
              <w:t>($)</w:t>
            </w:r>
            <w:r>
              <w:rPr>
                <w:rFonts w:ascii="Arial" w:cs="Arial" w:eastAsia="Arial" w:hAnsi="Arial"/>
                <w:sz w:val="15"/>
                <w:szCs w:val="15"/>
                <w:b w:val="1"/>
                <w:bCs w:val="1"/>
                <w:color w:val="1A475F"/>
                <w:w w:val="89"/>
                <w:vertAlign w:val="superscript"/>
              </w:rPr>
              <w:t>(6)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tcBorders>
            <w:shd w:val="clear" w:color="auto" w:fill="CCEEFF"/>
          </w:tcPr>
          <w:p>
            <w:pPr>
              <w:spacing w:after="0" w:line="92" w:lineRule="exact"/>
              <w:rPr>
                <w:sz w:val="20"/>
                <w:szCs w:val="20"/>
                <w:color w:val="auto"/>
              </w:rPr>
            </w:pPr>
            <w:r>
              <w:rPr>
                <w:rFonts w:ascii="Arial" w:cs="Arial" w:eastAsia="Arial" w:hAnsi="Arial"/>
                <w:sz w:val="10"/>
                <w:szCs w:val="10"/>
                <w:color w:val="1A475F"/>
              </w:rPr>
              <w:t>Stephen H. Kramer</w:t>
            </w:r>
          </w:p>
        </w:tc>
        <w:tc>
          <w:tcPr>
            <w:tcW w:w="6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line="92" w:lineRule="exact"/>
              <w:rPr>
                <w:sz w:val="20"/>
                <w:szCs w:val="20"/>
                <w:color w:val="auto"/>
              </w:rPr>
            </w:pPr>
            <w:r>
              <w:rPr>
                <w:rFonts w:ascii="Arial" w:cs="Arial" w:eastAsia="Arial" w:hAnsi="Arial"/>
                <w:sz w:val="10"/>
                <w:szCs w:val="10"/>
                <w:color w:val="1A475F"/>
              </w:rPr>
              <w:t>Annual Cash Bonus</w:t>
            </w: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w w:val="99"/>
              </w:rPr>
              <w:t>—</w:t>
            </w: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rPr>
              <w:t>—</w:t>
            </w: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1A475F"/>
              </w:rPr>
              <w:t>760,880</w:t>
            </w: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rPr>
              <w:t>1,014,507</w:t>
            </w: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rPr>
              <w:t>2,029,014</w:t>
            </w: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w w:val="99"/>
              </w:rPr>
              <w:t>—</w:t>
            </w:r>
          </w:p>
        </w:tc>
        <w:tc>
          <w:tcPr>
            <w:tcW w:w="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rPr>
              <w:t>—</w:t>
            </w: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rPr>
              <w:t>—</w:t>
            </w: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rPr>
              <w:t>—</w:t>
            </w: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w w:val="99"/>
              </w:rPr>
              <w:t>—</w:t>
            </w: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w w:val="99"/>
              </w:rPr>
              <w:t>—</w:t>
            </w: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center"/>
              <w:spacing w:after="0" w:line="92" w:lineRule="exact"/>
              <w:rPr>
                <w:sz w:val="20"/>
                <w:szCs w:val="20"/>
                <w:color w:val="auto"/>
              </w:rPr>
            </w:pPr>
            <w:r>
              <w:rPr>
                <w:rFonts w:ascii="Arial" w:cs="Arial" w:eastAsia="Arial" w:hAnsi="Arial"/>
                <w:sz w:val="10"/>
                <w:szCs w:val="10"/>
                <w:color w:val="1A475F"/>
                <w:w w:val="99"/>
              </w:rPr>
              <w:t>—</w:t>
            </w: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line="116" w:lineRule="exact"/>
              <w:rPr>
                <w:sz w:val="20"/>
                <w:szCs w:val="20"/>
                <w:color w:val="auto"/>
              </w:rPr>
            </w:pPr>
            <w:r>
              <w:rPr>
                <w:rFonts w:ascii="Arial" w:cs="Arial" w:eastAsia="Arial" w:hAnsi="Arial"/>
                <w:sz w:val="11"/>
                <w:szCs w:val="11"/>
                <w:color w:val="1A475F"/>
              </w:rPr>
              <w:t>PRSUs</w:t>
            </w:r>
          </w:p>
        </w:tc>
        <w:tc>
          <w:tcPr>
            <w:tcW w:w="54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w w:val="97"/>
              </w:rPr>
              <w:t>3/5/2025</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7"/>
              </w:rPr>
              <w:t>1/31/2025</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center"/>
              <w:ind w:right="100"/>
              <w:spacing w:after="0" w:line="116" w:lineRule="exact"/>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640" w:type="dxa"/>
            <w:vAlign w:val="bottom"/>
            <w:gridSpan w:val="2"/>
            <w:shd w:val="clear" w:color="auto" w:fill="CCEEFF"/>
          </w:tcPr>
          <w:p>
            <w:pPr>
              <w:jc w:val="center"/>
              <w:ind w:left="46"/>
              <w:spacing w:after="0" w:line="116" w:lineRule="exact"/>
              <w:rPr>
                <w:sz w:val="20"/>
                <w:szCs w:val="20"/>
                <w:color w:val="auto"/>
              </w:rPr>
            </w:pPr>
            <w:r>
              <w:rPr>
                <w:rFonts w:ascii="Arial" w:cs="Arial" w:eastAsia="Arial" w:hAnsi="Arial"/>
                <w:sz w:val="11"/>
                <w:szCs w:val="11"/>
                <w:color w:val="1A475F"/>
                <w:w w:val="94"/>
              </w:rPr>
              <w:t>3,360</w:t>
            </w:r>
          </w:p>
        </w:tc>
        <w:tc>
          <w:tcPr>
            <w:tcW w:w="40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rPr>
              <w:t>6,720</w:t>
            </w:r>
          </w:p>
        </w:tc>
        <w:tc>
          <w:tcPr>
            <w:tcW w:w="60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w w:val="94"/>
              </w:rPr>
              <w:t>13,440</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60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1"/>
                <w:szCs w:val="11"/>
                <w:color w:val="1A475F"/>
              </w:rPr>
              <w:t>875,011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line="116" w:lineRule="exact"/>
              <w:rPr>
                <w:sz w:val="20"/>
                <w:szCs w:val="20"/>
                <w:color w:val="auto"/>
              </w:rPr>
            </w:pPr>
            <w:r>
              <w:rPr>
                <w:rFonts w:ascii="Arial" w:cs="Arial" w:eastAsia="Arial" w:hAnsi="Arial"/>
                <w:sz w:val="11"/>
                <w:szCs w:val="11"/>
                <w:color w:val="1A475F"/>
              </w:rPr>
              <w:t>RSUs</w:t>
            </w:r>
          </w:p>
        </w:tc>
        <w:tc>
          <w:tcPr>
            <w:tcW w:w="54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w w:val="97"/>
              </w:rPr>
              <w:t>3/5/2025</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7"/>
              </w:rPr>
              <w:t>1/31/2025</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center"/>
              <w:ind w:right="100"/>
              <w:spacing w:after="0" w:line="116" w:lineRule="exact"/>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580" w:type="dxa"/>
            <w:vAlign w:val="bottom"/>
            <w:gridSpan w:val="2"/>
            <w:shd w:val="clear" w:color="auto" w:fill="CCEEFF"/>
          </w:tcPr>
          <w:p>
            <w:pPr>
              <w:jc w:val="center"/>
              <w:ind w:left="6"/>
              <w:spacing w:after="0" w:line="116" w:lineRule="exact"/>
              <w:rPr>
                <w:sz w:val="20"/>
                <w:szCs w:val="20"/>
                <w:color w:val="auto"/>
              </w:rPr>
            </w:pPr>
            <w:r>
              <w:rPr>
                <w:rFonts w:ascii="Arial" w:cs="Arial" w:eastAsia="Arial" w:hAnsi="Arial"/>
                <w:sz w:val="11"/>
                <w:szCs w:val="11"/>
                <w:color w:val="1A475F"/>
                <w:w w:val="94"/>
              </w:rPr>
              <w:t>13,440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60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1"/>
                <w:szCs w:val="11"/>
                <w:color w:val="1A475F"/>
              </w:rPr>
              <w:t>1,750,022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1"/>
                <w:szCs w:val="11"/>
                <w:color w:val="1A475F"/>
              </w:rPr>
              <w:t>Stock Options</w:t>
            </w:r>
          </w:p>
        </w:tc>
        <w:tc>
          <w:tcPr>
            <w:tcW w:w="5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1A475F"/>
                <w:w w:val="97"/>
              </w:rPr>
              <w:t>3/5/2025</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1"/>
                <w:szCs w:val="11"/>
                <w:color w:val="1A475F"/>
                <w:w w:val="97"/>
              </w:rPr>
              <w:t>1/31/2025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1A475F"/>
                <w:w w:val="90"/>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640" w:type="dxa"/>
            <w:vAlign w:val="bottom"/>
            <w:gridSpan w:val="2"/>
            <w:shd w:val="clear" w:color="auto" w:fill="CCEEFF"/>
          </w:tcPr>
          <w:p>
            <w:pPr>
              <w:jc w:val="center"/>
              <w:ind w:left="6"/>
              <w:spacing w:after="0"/>
              <w:rPr>
                <w:sz w:val="20"/>
                <w:szCs w:val="20"/>
                <w:color w:val="auto"/>
              </w:rPr>
            </w:pPr>
            <w:r>
              <w:rPr>
                <w:rFonts w:ascii="Arial" w:cs="Arial" w:eastAsia="Arial" w:hAnsi="Arial"/>
                <w:sz w:val="11"/>
                <w:szCs w:val="11"/>
                <w:color w:val="1A475F"/>
              </w:rPr>
              <w:t>14,863</w:t>
            </w:r>
          </w:p>
        </w:tc>
        <w:tc>
          <w:tcPr>
            <w:tcW w:w="540" w:type="dxa"/>
            <w:vAlign w:val="bottom"/>
            <w:gridSpan w:val="2"/>
            <w:shd w:val="clear" w:color="auto" w:fill="CCEEFF"/>
          </w:tcPr>
          <w:p>
            <w:pPr>
              <w:jc w:val="center"/>
              <w:ind w:left="6"/>
              <w:spacing w:after="0"/>
              <w:rPr>
                <w:sz w:val="20"/>
                <w:szCs w:val="20"/>
                <w:color w:val="auto"/>
              </w:rPr>
            </w:pPr>
            <w:r>
              <w:rPr>
                <w:rFonts w:ascii="Arial" w:cs="Arial" w:eastAsia="Arial" w:hAnsi="Arial"/>
                <w:sz w:val="11"/>
                <w:szCs w:val="11"/>
                <w:color w:val="1A475F"/>
                <w:w w:val="94"/>
              </w:rPr>
              <w:t>130.21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1A475F"/>
              </w:rPr>
              <w:t>875,133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00" w:type="dxa"/>
            <w:vAlign w:val="bottom"/>
          </w:tcPr>
          <w:p>
            <w:pPr>
              <w:spacing w:after="0" w:line="101" w:lineRule="exact"/>
              <w:rPr>
                <w:sz w:val="20"/>
                <w:szCs w:val="20"/>
                <w:color w:val="auto"/>
              </w:rPr>
            </w:pPr>
            <w:r>
              <w:rPr>
                <w:rFonts w:ascii="Arial" w:cs="Arial" w:eastAsia="Arial" w:hAnsi="Arial"/>
                <w:sz w:val="11"/>
                <w:szCs w:val="11"/>
                <w:color w:val="1A475F"/>
              </w:rPr>
              <w:t>Elizabeth J. Boland</w:t>
            </w:r>
          </w:p>
        </w:tc>
        <w:tc>
          <w:tcPr>
            <w:tcW w:w="60" w:type="dxa"/>
            <w:vAlign w:val="bottom"/>
          </w:tcPr>
          <w:p>
            <w:pPr>
              <w:spacing w:after="0"/>
              <w:rPr>
                <w:sz w:val="8"/>
                <w:szCs w:val="8"/>
                <w:color w:val="auto"/>
              </w:rPr>
            </w:pPr>
          </w:p>
        </w:tc>
        <w:tc>
          <w:tcPr>
            <w:tcW w:w="960" w:type="dxa"/>
            <w:vAlign w:val="bottom"/>
          </w:tcPr>
          <w:p>
            <w:pPr>
              <w:spacing w:after="0" w:line="101" w:lineRule="exact"/>
              <w:rPr>
                <w:sz w:val="20"/>
                <w:szCs w:val="20"/>
                <w:color w:val="auto"/>
              </w:rPr>
            </w:pPr>
            <w:r>
              <w:rPr>
                <w:rFonts w:ascii="Arial" w:cs="Arial" w:eastAsia="Arial" w:hAnsi="Arial"/>
                <w:sz w:val="11"/>
                <w:szCs w:val="11"/>
                <w:color w:val="1A475F"/>
                <w:w w:val="96"/>
              </w:rPr>
              <w:t>Annual Cash Bonus</w:t>
            </w:r>
          </w:p>
        </w:tc>
        <w:tc>
          <w:tcPr>
            <w:tcW w:w="80" w:type="dxa"/>
            <w:vAlign w:val="bottom"/>
          </w:tcPr>
          <w:p>
            <w:pPr>
              <w:spacing w:after="0"/>
              <w:rPr>
                <w:sz w:val="8"/>
                <w:szCs w:val="8"/>
                <w:color w:val="auto"/>
              </w:rPr>
            </w:pPr>
          </w:p>
        </w:tc>
        <w:tc>
          <w:tcPr>
            <w:tcW w:w="580" w:type="dxa"/>
            <w:vAlign w:val="bottom"/>
            <w:gridSpan w:val="2"/>
          </w:tcPr>
          <w:p>
            <w:pPr>
              <w:jc w:val="center"/>
              <w:ind w:right="120"/>
              <w:spacing w:after="0" w:line="101" w:lineRule="exact"/>
              <w:rPr>
                <w:sz w:val="20"/>
                <w:szCs w:val="20"/>
                <w:color w:val="auto"/>
              </w:rPr>
            </w:pPr>
            <w:r>
              <w:rPr>
                <w:rFonts w:ascii="Arial" w:cs="Arial" w:eastAsia="Arial" w:hAnsi="Arial"/>
                <w:sz w:val="11"/>
                <w:szCs w:val="11"/>
                <w:color w:val="1A475F"/>
                <w:w w:val="90"/>
              </w:rPr>
              <w:t>—</w:t>
            </w:r>
          </w:p>
        </w:tc>
        <w:tc>
          <w:tcPr>
            <w:tcW w:w="520" w:type="dxa"/>
            <w:vAlign w:val="bottom"/>
          </w:tcPr>
          <w:p>
            <w:pPr>
              <w:jc w:val="center"/>
              <w:spacing w:after="0" w:line="101" w:lineRule="exact"/>
              <w:rPr>
                <w:sz w:val="20"/>
                <w:szCs w:val="20"/>
                <w:color w:val="auto"/>
              </w:rPr>
            </w:pPr>
            <w:r>
              <w:rPr>
                <w:rFonts w:ascii="Arial" w:cs="Arial" w:eastAsia="Arial" w:hAnsi="Arial"/>
                <w:sz w:val="11"/>
                <w:szCs w:val="11"/>
                <w:color w:val="1A475F"/>
              </w:rPr>
              <w:t>—</w:t>
            </w:r>
          </w:p>
        </w:tc>
        <w:tc>
          <w:tcPr>
            <w:tcW w:w="640" w:type="dxa"/>
            <w:vAlign w:val="bottom"/>
            <w:gridSpan w:val="2"/>
          </w:tcPr>
          <w:p>
            <w:pPr>
              <w:jc w:val="right"/>
              <w:spacing w:after="0" w:line="101" w:lineRule="exact"/>
              <w:rPr>
                <w:sz w:val="20"/>
                <w:szCs w:val="20"/>
                <w:color w:val="auto"/>
              </w:rPr>
            </w:pPr>
            <w:r>
              <w:rPr>
                <w:rFonts w:ascii="Arial" w:cs="Arial" w:eastAsia="Arial" w:hAnsi="Arial"/>
                <w:sz w:val="11"/>
                <w:szCs w:val="11"/>
                <w:color w:val="1A475F"/>
              </w:rPr>
              <w:t>322,920</w:t>
            </w:r>
          </w:p>
        </w:tc>
        <w:tc>
          <w:tcPr>
            <w:tcW w:w="640" w:type="dxa"/>
            <w:vAlign w:val="bottom"/>
            <w:gridSpan w:val="2"/>
          </w:tcPr>
          <w:p>
            <w:pPr>
              <w:jc w:val="right"/>
              <w:spacing w:after="0" w:line="101" w:lineRule="exact"/>
              <w:rPr>
                <w:sz w:val="20"/>
                <w:szCs w:val="20"/>
                <w:color w:val="auto"/>
              </w:rPr>
            </w:pPr>
            <w:r>
              <w:rPr>
                <w:rFonts w:ascii="Arial" w:cs="Arial" w:eastAsia="Arial" w:hAnsi="Arial"/>
                <w:sz w:val="11"/>
                <w:szCs w:val="11"/>
                <w:color w:val="1A475F"/>
              </w:rPr>
              <w:t>430,560</w:t>
            </w:r>
          </w:p>
        </w:tc>
        <w:tc>
          <w:tcPr>
            <w:tcW w:w="120" w:type="dxa"/>
            <w:vAlign w:val="bottom"/>
          </w:tcPr>
          <w:p>
            <w:pPr>
              <w:spacing w:after="0"/>
              <w:rPr>
                <w:sz w:val="8"/>
                <w:szCs w:val="8"/>
                <w:color w:val="auto"/>
              </w:rPr>
            </w:pPr>
          </w:p>
        </w:tc>
        <w:tc>
          <w:tcPr>
            <w:tcW w:w="520" w:type="dxa"/>
            <w:vAlign w:val="bottom"/>
          </w:tcPr>
          <w:p>
            <w:pPr>
              <w:ind w:left="120"/>
              <w:spacing w:after="0" w:line="101" w:lineRule="exact"/>
              <w:rPr>
                <w:sz w:val="20"/>
                <w:szCs w:val="20"/>
                <w:color w:val="auto"/>
              </w:rPr>
            </w:pPr>
            <w:r>
              <w:rPr>
                <w:rFonts w:ascii="Arial" w:cs="Arial" w:eastAsia="Arial" w:hAnsi="Arial"/>
                <w:sz w:val="11"/>
                <w:szCs w:val="11"/>
                <w:color w:val="1A475F"/>
                <w:w w:val="95"/>
              </w:rPr>
              <w:t>861,120</w:t>
            </w:r>
          </w:p>
        </w:tc>
        <w:tc>
          <w:tcPr>
            <w:tcW w:w="100" w:type="dxa"/>
            <w:vAlign w:val="bottom"/>
          </w:tcPr>
          <w:p>
            <w:pPr>
              <w:spacing w:after="0"/>
              <w:rPr>
                <w:sz w:val="8"/>
                <w:szCs w:val="8"/>
                <w:color w:val="auto"/>
              </w:rPr>
            </w:pPr>
          </w:p>
        </w:tc>
        <w:tc>
          <w:tcPr>
            <w:tcW w:w="540" w:type="dxa"/>
            <w:vAlign w:val="bottom"/>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8"/>
                <w:szCs w:val="8"/>
                <w:color w:val="auto"/>
              </w:rPr>
            </w:pPr>
          </w:p>
        </w:tc>
        <w:tc>
          <w:tcPr>
            <w:tcW w:w="320" w:type="dxa"/>
            <w:vAlign w:val="bottom"/>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tcPr>
          <w:p>
            <w:pPr>
              <w:spacing w:after="0"/>
              <w:rPr>
                <w:sz w:val="8"/>
                <w:szCs w:val="8"/>
                <w:color w:val="auto"/>
              </w:rPr>
            </w:pPr>
          </w:p>
        </w:tc>
        <w:tc>
          <w:tcPr>
            <w:tcW w:w="520" w:type="dxa"/>
            <w:vAlign w:val="bottom"/>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tcPr>
          <w:p>
            <w:pPr>
              <w:spacing w:after="0"/>
              <w:rPr>
                <w:sz w:val="8"/>
                <w:szCs w:val="8"/>
                <w:color w:val="auto"/>
              </w:rPr>
            </w:pPr>
          </w:p>
        </w:tc>
        <w:tc>
          <w:tcPr>
            <w:tcW w:w="560" w:type="dxa"/>
            <w:vAlign w:val="bottom"/>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8"/>
                <w:szCs w:val="8"/>
                <w:color w:val="auto"/>
              </w:rPr>
            </w:pPr>
          </w:p>
        </w:tc>
        <w:tc>
          <w:tcPr>
            <w:tcW w:w="560" w:type="dxa"/>
            <w:vAlign w:val="bottom"/>
            <w:gridSpan w:val="2"/>
          </w:tcPr>
          <w:p>
            <w:pPr>
              <w:jc w:val="center"/>
              <w:ind w:right="20"/>
              <w:spacing w:after="0" w:line="101" w:lineRule="exact"/>
              <w:rPr>
                <w:sz w:val="20"/>
                <w:szCs w:val="20"/>
                <w:color w:val="auto"/>
              </w:rPr>
            </w:pPr>
            <w:r>
              <w:rPr>
                <w:rFonts w:ascii="Arial" w:cs="Arial" w:eastAsia="Arial" w:hAnsi="Arial"/>
                <w:sz w:val="11"/>
                <w:szCs w:val="11"/>
                <w:color w:val="1A475F"/>
                <w:w w:val="90"/>
              </w:rPr>
              <w:t>—</w:t>
            </w: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020" w:type="dxa"/>
            <w:vAlign w:val="bottom"/>
            <w:gridSpan w:val="2"/>
          </w:tcPr>
          <w:p>
            <w:pPr>
              <w:ind w:left="60"/>
              <w:spacing w:after="0" w:line="116" w:lineRule="exact"/>
              <w:rPr>
                <w:sz w:val="20"/>
                <w:szCs w:val="20"/>
                <w:color w:val="auto"/>
              </w:rPr>
            </w:pPr>
            <w:r>
              <w:rPr>
                <w:rFonts w:ascii="Arial" w:cs="Arial" w:eastAsia="Arial" w:hAnsi="Arial"/>
                <w:sz w:val="11"/>
                <w:szCs w:val="11"/>
                <w:color w:val="1A475F"/>
              </w:rPr>
              <w:t>PRSUs</w:t>
            </w:r>
          </w:p>
        </w:tc>
        <w:tc>
          <w:tcPr>
            <w:tcW w:w="540" w:type="dxa"/>
            <w:vAlign w:val="bottom"/>
            <w:gridSpan w:val="2"/>
          </w:tcPr>
          <w:p>
            <w:pPr>
              <w:jc w:val="center"/>
              <w:ind w:left="26"/>
              <w:spacing w:after="0" w:line="116" w:lineRule="exact"/>
              <w:rPr>
                <w:sz w:val="20"/>
                <w:szCs w:val="20"/>
                <w:color w:val="auto"/>
              </w:rPr>
            </w:pPr>
            <w:r>
              <w:rPr>
                <w:rFonts w:ascii="Arial" w:cs="Arial" w:eastAsia="Arial" w:hAnsi="Arial"/>
                <w:sz w:val="11"/>
                <w:szCs w:val="11"/>
                <w:color w:val="1A475F"/>
                <w:w w:val="97"/>
              </w:rPr>
              <w:t>3/5/2025</w:t>
            </w:r>
          </w:p>
        </w:tc>
        <w:tc>
          <w:tcPr>
            <w:tcW w:w="12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Arial" w:cs="Arial" w:eastAsia="Arial" w:hAnsi="Arial"/>
                <w:sz w:val="11"/>
                <w:szCs w:val="11"/>
                <w:color w:val="1A475F"/>
                <w:w w:val="97"/>
              </w:rPr>
              <w:t>1/31/2025</w:t>
            </w:r>
          </w:p>
        </w:tc>
        <w:tc>
          <w:tcPr>
            <w:tcW w:w="100" w:type="dxa"/>
            <w:vAlign w:val="bottom"/>
          </w:tcPr>
          <w:p>
            <w:pPr>
              <w:spacing w:after="0"/>
              <w:rPr>
                <w:sz w:val="10"/>
                <w:szCs w:val="10"/>
                <w:color w:val="auto"/>
              </w:rPr>
            </w:pPr>
          </w:p>
        </w:tc>
        <w:tc>
          <w:tcPr>
            <w:tcW w:w="54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120" w:type="dxa"/>
            <w:vAlign w:val="bottom"/>
          </w:tcPr>
          <w:p>
            <w:pPr>
              <w:spacing w:after="0"/>
              <w:rPr>
                <w:sz w:val="10"/>
                <w:szCs w:val="10"/>
                <w:color w:val="auto"/>
              </w:rPr>
            </w:pPr>
          </w:p>
        </w:tc>
        <w:tc>
          <w:tcPr>
            <w:tcW w:w="640" w:type="dxa"/>
            <w:vAlign w:val="bottom"/>
            <w:gridSpan w:val="2"/>
          </w:tcPr>
          <w:p>
            <w:pPr>
              <w:jc w:val="center"/>
              <w:ind w:right="100"/>
              <w:spacing w:after="0" w:line="116" w:lineRule="exact"/>
              <w:rPr>
                <w:sz w:val="20"/>
                <w:szCs w:val="20"/>
                <w:color w:val="auto"/>
              </w:rPr>
            </w:pPr>
            <w:r>
              <w:rPr>
                <w:rFonts w:ascii="Arial" w:cs="Arial" w:eastAsia="Arial" w:hAnsi="Arial"/>
                <w:sz w:val="11"/>
                <w:szCs w:val="11"/>
                <w:color w:val="1A475F"/>
                <w:w w:val="90"/>
              </w:rPr>
              <w:t>—</w:t>
            </w:r>
          </w:p>
        </w:tc>
        <w:tc>
          <w:tcPr>
            <w:tcW w:w="5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640" w:type="dxa"/>
            <w:vAlign w:val="bottom"/>
            <w:gridSpan w:val="2"/>
          </w:tcPr>
          <w:p>
            <w:pPr>
              <w:jc w:val="center"/>
              <w:ind w:left="46"/>
              <w:spacing w:after="0" w:line="116" w:lineRule="exact"/>
              <w:rPr>
                <w:sz w:val="20"/>
                <w:szCs w:val="20"/>
                <w:color w:val="auto"/>
              </w:rPr>
            </w:pPr>
            <w:r>
              <w:rPr>
                <w:rFonts w:ascii="Arial" w:cs="Arial" w:eastAsia="Arial" w:hAnsi="Arial"/>
                <w:sz w:val="11"/>
                <w:szCs w:val="11"/>
                <w:color w:val="1A475F"/>
                <w:w w:val="94"/>
              </w:rPr>
              <w:t>1,056</w:t>
            </w:r>
          </w:p>
        </w:tc>
        <w:tc>
          <w:tcPr>
            <w:tcW w:w="400" w:type="dxa"/>
            <w:vAlign w:val="bottom"/>
            <w:gridSpan w:val="2"/>
          </w:tcPr>
          <w:p>
            <w:pPr>
              <w:jc w:val="center"/>
              <w:ind w:left="6"/>
              <w:spacing w:after="0" w:line="116" w:lineRule="exact"/>
              <w:rPr>
                <w:sz w:val="20"/>
                <w:szCs w:val="20"/>
                <w:color w:val="auto"/>
              </w:rPr>
            </w:pPr>
            <w:r>
              <w:rPr>
                <w:rFonts w:ascii="Arial" w:cs="Arial" w:eastAsia="Arial" w:hAnsi="Arial"/>
                <w:sz w:val="11"/>
                <w:szCs w:val="11"/>
                <w:color w:val="1A475F"/>
                <w:w w:val="94"/>
              </w:rPr>
              <w:t>2,112</w:t>
            </w:r>
          </w:p>
        </w:tc>
        <w:tc>
          <w:tcPr>
            <w:tcW w:w="600" w:type="dxa"/>
            <w:vAlign w:val="bottom"/>
            <w:gridSpan w:val="2"/>
          </w:tcPr>
          <w:p>
            <w:pPr>
              <w:jc w:val="center"/>
              <w:ind w:left="26"/>
              <w:spacing w:after="0" w:line="116" w:lineRule="exact"/>
              <w:rPr>
                <w:sz w:val="20"/>
                <w:szCs w:val="20"/>
                <w:color w:val="auto"/>
              </w:rPr>
            </w:pPr>
            <w:r>
              <w:rPr>
                <w:rFonts w:ascii="Arial" w:cs="Arial" w:eastAsia="Arial" w:hAnsi="Arial"/>
                <w:sz w:val="11"/>
                <w:szCs w:val="11"/>
                <w:color w:val="1A475F"/>
              </w:rPr>
              <w:t>4,224</w:t>
            </w:r>
          </w:p>
        </w:tc>
        <w:tc>
          <w:tcPr>
            <w:tcW w:w="80" w:type="dxa"/>
            <w:vAlign w:val="bottom"/>
          </w:tcPr>
          <w:p>
            <w:pPr>
              <w:spacing w:after="0"/>
              <w:rPr>
                <w:sz w:val="10"/>
                <w:szCs w:val="10"/>
                <w:color w:val="auto"/>
              </w:rPr>
            </w:pPr>
          </w:p>
        </w:tc>
        <w:tc>
          <w:tcPr>
            <w:tcW w:w="50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8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10"/>
                <w:szCs w:val="10"/>
                <w:color w:val="auto"/>
              </w:rPr>
            </w:pPr>
          </w:p>
        </w:tc>
        <w:tc>
          <w:tcPr>
            <w:tcW w:w="4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600" w:type="dxa"/>
            <w:vAlign w:val="bottom"/>
            <w:gridSpan w:val="2"/>
          </w:tcPr>
          <w:p>
            <w:pPr>
              <w:jc w:val="right"/>
              <w:spacing w:after="0" w:line="116" w:lineRule="exact"/>
              <w:rPr>
                <w:sz w:val="20"/>
                <w:szCs w:val="20"/>
                <w:color w:val="auto"/>
              </w:rPr>
            </w:pPr>
            <w:r>
              <w:rPr>
                <w:rFonts w:ascii="Arial" w:cs="Arial" w:eastAsia="Arial" w:hAnsi="Arial"/>
                <w:sz w:val="11"/>
                <w:szCs w:val="11"/>
                <w:color w:val="1A475F"/>
              </w:rPr>
              <w:t>275,004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020" w:type="dxa"/>
            <w:vAlign w:val="bottom"/>
            <w:gridSpan w:val="2"/>
          </w:tcPr>
          <w:p>
            <w:pPr>
              <w:ind w:left="60"/>
              <w:spacing w:after="0" w:line="116" w:lineRule="exact"/>
              <w:rPr>
                <w:sz w:val="20"/>
                <w:szCs w:val="20"/>
                <w:color w:val="auto"/>
              </w:rPr>
            </w:pPr>
            <w:r>
              <w:rPr>
                <w:rFonts w:ascii="Arial" w:cs="Arial" w:eastAsia="Arial" w:hAnsi="Arial"/>
                <w:sz w:val="11"/>
                <w:szCs w:val="11"/>
                <w:color w:val="1A475F"/>
              </w:rPr>
              <w:t>RSUs</w:t>
            </w:r>
          </w:p>
        </w:tc>
        <w:tc>
          <w:tcPr>
            <w:tcW w:w="540" w:type="dxa"/>
            <w:vAlign w:val="bottom"/>
            <w:gridSpan w:val="2"/>
          </w:tcPr>
          <w:p>
            <w:pPr>
              <w:jc w:val="center"/>
              <w:ind w:left="26"/>
              <w:spacing w:after="0" w:line="116" w:lineRule="exact"/>
              <w:rPr>
                <w:sz w:val="20"/>
                <w:szCs w:val="20"/>
                <w:color w:val="auto"/>
              </w:rPr>
            </w:pPr>
            <w:r>
              <w:rPr>
                <w:rFonts w:ascii="Arial" w:cs="Arial" w:eastAsia="Arial" w:hAnsi="Arial"/>
                <w:sz w:val="11"/>
                <w:szCs w:val="11"/>
                <w:color w:val="1A475F"/>
                <w:w w:val="97"/>
              </w:rPr>
              <w:t>3/5/2025</w:t>
            </w:r>
          </w:p>
        </w:tc>
        <w:tc>
          <w:tcPr>
            <w:tcW w:w="12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Arial" w:cs="Arial" w:eastAsia="Arial" w:hAnsi="Arial"/>
                <w:sz w:val="11"/>
                <w:szCs w:val="11"/>
                <w:color w:val="1A475F"/>
                <w:w w:val="97"/>
              </w:rPr>
              <w:t>1/31/2025</w:t>
            </w:r>
          </w:p>
        </w:tc>
        <w:tc>
          <w:tcPr>
            <w:tcW w:w="100" w:type="dxa"/>
            <w:vAlign w:val="bottom"/>
          </w:tcPr>
          <w:p>
            <w:pPr>
              <w:spacing w:after="0"/>
              <w:rPr>
                <w:sz w:val="10"/>
                <w:szCs w:val="10"/>
                <w:color w:val="auto"/>
              </w:rPr>
            </w:pPr>
          </w:p>
        </w:tc>
        <w:tc>
          <w:tcPr>
            <w:tcW w:w="54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120" w:type="dxa"/>
            <w:vAlign w:val="bottom"/>
          </w:tcPr>
          <w:p>
            <w:pPr>
              <w:spacing w:after="0"/>
              <w:rPr>
                <w:sz w:val="10"/>
                <w:szCs w:val="10"/>
                <w:color w:val="auto"/>
              </w:rPr>
            </w:pPr>
          </w:p>
        </w:tc>
        <w:tc>
          <w:tcPr>
            <w:tcW w:w="640" w:type="dxa"/>
            <w:vAlign w:val="bottom"/>
            <w:gridSpan w:val="2"/>
          </w:tcPr>
          <w:p>
            <w:pPr>
              <w:jc w:val="center"/>
              <w:ind w:right="100"/>
              <w:spacing w:after="0" w:line="116" w:lineRule="exact"/>
              <w:rPr>
                <w:sz w:val="20"/>
                <w:szCs w:val="20"/>
                <w:color w:val="auto"/>
              </w:rPr>
            </w:pPr>
            <w:r>
              <w:rPr>
                <w:rFonts w:ascii="Arial" w:cs="Arial" w:eastAsia="Arial" w:hAnsi="Arial"/>
                <w:sz w:val="11"/>
                <w:szCs w:val="11"/>
                <w:color w:val="1A475F"/>
                <w:w w:val="90"/>
              </w:rPr>
              <w:t>—</w:t>
            </w:r>
          </w:p>
        </w:tc>
        <w:tc>
          <w:tcPr>
            <w:tcW w:w="5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100" w:type="dxa"/>
            <w:vAlign w:val="bottom"/>
          </w:tcPr>
          <w:p>
            <w:pPr>
              <w:spacing w:after="0"/>
              <w:rPr>
                <w:sz w:val="10"/>
                <w:szCs w:val="10"/>
                <w:color w:val="auto"/>
              </w:rPr>
            </w:pPr>
          </w:p>
        </w:tc>
        <w:tc>
          <w:tcPr>
            <w:tcW w:w="54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10"/>
                <w:szCs w:val="10"/>
                <w:color w:val="auto"/>
              </w:rPr>
            </w:pPr>
          </w:p>
        </w:tc>
        <w:tc>
          <w:tcPr>
            <w:tcW w:w="3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8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580" w:type="dxa"/>
            <w:vAlign w:val="bottom"/>
            <w:gridSpan w:val="2"/>
          </w:tcPr>
          <w:p>
            <w:pPr>
              <w:jc w:val="center"/>
              <w:ind w:left="6"/>
              <w:spacing w:after="0" w:line="116" w:lineRule="exact"/>
              <w:rPr>
                <w:sz w:val="20"/>
                <w:szCs w:val="20"/>
                <w:color w:val="auto"/>
              </w:rPr>
            </w:pPr>
            <w:r>
              <w:rPr>
                <w:rFonts w:ascii="Arial" w:cs="Arial" w:eastAsia="Arial" w:hAnsi="Arial"/>
                <w:sz w:val="11"/>
                <w:szCs w:val="11"/>
                <w:color w:val="1A475F"/>
              </w:rPr>
              <w:t>4,224</w:t>
            </w:r>
          </w:p>
        </w:tc>
        <w:tc>
          <w:tcPr>
            <w:tcW w:w="8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10"/>
                <w:szCs w:val="10"/>
                <w:color w:val="auto"/>
              </w:rPr>
            </w:pPr>
          </w:p>
        </w:tc>
        <w:tc>
          <w:tcPr>
            <w:tcW w:w="4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600" w:type="dxa"/>
            <w:vAlign w:val="bottom"/>
            <w:gridSpan w:val="2"/>
          </w:tcPr>
          <w:p>
            <w:pPr>
              <w:jc w:val="right"/>
              <w:spacing w:after="0" w:line="116" w:lineRule="exact"/>
              <w:rPr>
                <w:sz w:val="20"/>
                <w:szCs w:val="20"/>
                <w:color w:val="auto"/>
              </w:rPr>
            </w:pPr>
            <w:r>
              <w:rPr>
                <w:rFonts w:ascii="Arial" w:cs="Arial" w:eastAsia="Arial" w:hAnsi="Arial"/>
                <w:sz w:val="11"/>
                <w:szCs w:val="11"/>
                <w:color w:val="1A475F"/>
              </w:rPr>
              <w:t>550,007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color w:val="1A475F"/>
              </w:rPr>
              <w:t>Stock Options</w:t>
            </w:r>
          </w:p>
        </w:tc>
        <w:tc>
          <w:tcPr>
            <w:tcW w:w="540" w:type="dxa"/>
            <w:vAlign w:val="bottom"/>
            <w:gridSpan w:val="2"/>
          </w:tcPr>
          <w:p>
            <w:pPr>
              <w:jc w:val="center"/>
              <w:ind w:left="26"/>
              <w:spacing w:after="0"/>
              <w:rPr>
                <w:sz w:val="20"/>
                <w:szCs w:val="20"/>
                <w:color w:val="auto"/>
              </w:rPr>
            </w:pPr>
            <w:r>
              <w:rPr>
                <w:rFonts w:ascii="Arial" w:cs="Arial" w:eastAsia="Arial" w:hAnsi="Arial"/>
                <w:sz w:val="11"/>
                <w:szCs w:val="11"/>
                <w:color w:val="1A475F"/>
                <w:w w:val="97"/>
              </w:rPr>
              <w:t>3/5/2025</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1A475F"/>
                <w:w w:val="97"/>
              </w:rPr>
              <w:t>1/31/2025</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1A475F"/>
                <w:w w:val="90"/>
              </w:rPr>
              <w:t>—</w:t>
            </w:r>
          </w:p>
        </w:tc>
        <w:tc>
          <w:tcPr>
            <w:tcW w:w="120" w:type="dxa"/>
            <w:vAlign w:val="bottom"/>
          </w:tcPr>
          <w:p>
            <w:pPr>
              <w:spacing w:after="0"/>
              <w:rPr>
                <w:sz w:val="11"/>
                <w:szCs w:val="11"/>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color w:val="1A475F"/>
                <w:w w:val="90"/>
              </w:rPr>
              <w:t>—</w:t>
            </w:r>
          </w:p>
        </w:tc>
        <w:tc>
          <w:tcPr>
            <w:tcW w:w="520" w:type="dxa"/>
            <w:vAlign w:val="bottom"/>
          </w:tcPr>
          <w:p>
            <w:pPr>
              <w:jc w:val="center"/>
              <w:spacing w:after="0"/>
              <w:rPr>
                <w:sz w:val="20"/>
                <w:szCs w:val="20"/>
                <w:color w:val="auto"/>
              </w:rPr>
            </w:pPr>
            <w:r>
              <w:rPr>
                <w:rFonts w:ascii="Arial" w:cs="Arial" w:eastAsia="Arial" w:hAnsi="Arial"/>
                <w:sz w:val="11"/>
                <w:szCs w:val="11"/>
                <w:color w:val="1A475F"/>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11"/>
                <w:szCs w:val="11"/>
                <w:color w:val="auto"/>
              </w:rPr>
            </w:pPr>
          </w:p>
        </w:tc>
        <w:tc>
          <w:tcPr>
            <w:tcW w:w="320" w:type="dxa"/>
            <w:vAlign w:val="bottom"/>
          </w:tcPr>
          <w:p>
            <w:pPr>
              <w:jc w:val="center"/>
              <w:spacing w:after="0"/>
              <w:rPr>
                <w:sz w:val="20"/>
                <w:szCs w:val="20"/>
                <w:color w:val="auto"/>
              </w:rPr>
            </w:pPr>
            <w:r>
              <w:rPr>
                <w:rFonts w:ascii="Arial" w:cs="Arial" w:eastAsia="Arial" w:hAnsi="Arial"/>
                <w:sz w:val="11"/>
                <w:szCs w:val="11"/>
                <w:color w:val="1A475F"/>
              </w:rPr>
              <w:t>—</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1A475F"/>
              </w:rPr>
              <w:t>—</w:t>
            </w:r>
          </w:p>
        </w:tc>
        <w:tc>
          <w:tcPr>
            <w:tcW w:w="8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color w:val="1A475F"/>
              </w:rPr>
              <w:t>—</w:t>
            </w:r>
          </w:p>
        </w:tc>
        <w:tc>
          <w:tcPr>
            <w:tcW w:w="640" w:type="dxa"/>
            <w:vAlign w:val="bottom"/>
            <w:gridSpan w:val="2"/>
          </w:tcPr>
          <w:p>
            <w:pPr>
              <w:jc w:val="center"/>
              <w:ind w:left="6"/>
              <w:spacing w:after="0"/>
              <w:rPr>
                <w:sz w:val="20"/>
                <w:szCs w:val="20"/>
                <w:color w:val="auto"/>
              </w:rPr>
            </w:pPr>
            <w:r>
              <w:rPr>
                <w:rFonts w:ascii="Arial" w:cs="Arial" w:eastAsia="Arial" w:hAnsi="Arial"/>
                <w:sz w:val="11"/>
                <w:szCs w:val="11"/>
                <w:color w:val="1A475F"/>
                <w:w w:val="94"/>
              </w:rPr>
              <w:t>4,671</w:t>
            </w:r>
          </w:p>
        </w:tc>
        <w:tc>
          <w:tcPr>
            <w:tcW w:w="540" w:type="dxa"/>
            <w:vAlign w:val="bottom"/>
            <w:gridSpan w:val="2"/>
          </w:tcPr>
          <w:p>
            <w:pPr>
              <w:jc w:val="center"/>
              <w:ind w:left="6"/>
              <w:spacing w:after="0"/>
              <w:rPr>
                <w:sz w:val="20"/>
                <w:szCs w:val="20"/>
                <w:color w:val="auto"/>
              </w:rPr>
            </w:pPr>
            <w:r>
              <w:rPr>
                <w:rFonts w:ascii="Arial" w:cs="Arial" w:eastAsia="Arial" w:hAnsi="Arial"/>
                <w:sz w:val="11"/>
                <w:szCs w:val="11"/>
                <w:color w:val="1A475F"/>
                <w:w w:val="94"/>
              </w:rPr>
              <w:t>130.21</w:t>
            </w:r>
          </w:p>
        </w:tc>
        <w:tc>
          <w:tcPr>
            <w:tcW w:w="600" w:type="dxa"/>
            <w:vAlign w:val="bottom"/>
            <w:gridSpan w:val="2"/>
          </w:tcPr>
          <w:p>
            <w:pPr>
              <w:jc w:val="right"/>
              <w:spacing w:after="0"/>
              <w:rPr>
                <w:sz w:val="20"/>
                <w:szCs w:val="20"/>
                <w:color w:val="auto"/>
              </w:rPr>
            </w:pPr>
            <w:r>
              <w:rPr>
                <w:rFonts w:ascii="Arial" w:cs="Arial" w:eastAsia="Arial" w:hAnsi="Arial"/>
                <w:sz w:val="11"/>
                <w:szCs w:val="11"/>
                <w:color w:val="1A475F"/>
              </w:rPr>
              <w:t>275,028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00" w:type="dxa"/>
            <w:vAlign w:val="bottom"/>
            <w:shd w:val="clear" w:color="auto" w:fill="CCEEFF"/>
          </w:tcPr>
          <w:p>
            <w:pPr>
              <w:spacing w:after="0" w:line="101" w:lineRule="exact"/>
              <w:rPr>
                <w:sz w:val="20"/>
                <w:szCs w:val="20"/>
                <w:color w:val="auto"/>
              </w:rPr>
            </w:pPr>
            <w:r>
              <w:rPr>
                <w:rFonts w:ascii="Arial" w:cs="Arial" w:eastAsia="Arial" w:hAnsi="Arial"/>
                <w:sz w:val="11"/>
                <w:szCs w:val="11"/>
                <w:color w:val="1A475F"/>
              </w:rPr>
              <w:t>Mary Lou Burke Afonso</w:t>
            </w:r>
          </w:p>
        </w:tc>
        <w:tc>
          <w:tcPr>
            <w:tcW w:w="1020" w:type="dxa"/>
            <w:vAlign w:val="bottom"/>
            <w:gridSpan w:val="2"/>
            <w:shd w:val="clear" w:color="auto" w:fill="CCEEFF"/>
          </w:tcPr>
          <w:p>
            <w:pPr>
              <w:ind w:left="60"/>
              <w:spacing w:after="0" w:line="101" w:lineRule="exact"/>
              <w:rPr>
                <w:sz w:val="20"/>
                <w:szCs w:val="20"/>
                <w:color w:val="auto"/>
              </w:rPr>
            </w:pPr>
            <w:r>
              <w:rPr>
                <w:rFonts w:ascii="Arial" w:cs="Arial" w:eastAsia="Arial" w:hAnsi="Arial"/>
                <w:sz w:val="11"/>
                <w:szCs w:val="11"/>
                <w:color w:val="1A475F"/>
                <w:w w:val="96"/>
              </w:rPr>
              <w:t>Annual Cash Bonus</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rPr>
              <w:t>—</w:t>
            </w:r>
          </w:p>
        </w:tc>
        <w:tc>
          <w:tcPr>
            <w:tcW w:w="6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11"/>
                <w:szCs w:val="11"/>
                <w:color w:val="1A475F"/>
              </w:rPr>
              <w:t>322,920</w:t>
            </w:r>
          </w:p>
        </w:tc>
        <w:tc>
          <w:tcPr>
            <w:tcW w:w="6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11"/>
                <w:szCs w:val="11"/>
                <w:color w:val="1A475F"/>
              </w:rPr>
              <w:t>430,560</w:t>
            </w: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ind w:left="120"/>
              <w:spacing w:after="0" w:line="101" w:lineRule="exact"/>
              <w:rPr>
                <w:sz w:val="20"/>
                <w:szCs w:val="20"/>
                <w:color w:val="auto"/>
              </w:rPr>
            </w:pPr>
            <w:r>
              <w:rPr>
                <w:rFonts w:ascii="Arial" w:cs="Arial" w:eastAsia="Arial" w:hAnsi="Arial"/>
                <w:sz w:val="11"/>
                <w:szCs w:val="11"/>
                <w:color w:val="1A475F"/>
                <w:w w:val="95"/>
              </w:rPr>
              <w:t>861,120</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center"/>
              <w:ind w:right="20"/>
              <w:spacing w:after="0" w:line="101" w:lineRule="exact"/>
              <w:rPr>
                <w:sz w:val="20"/>
                <w:szCs w:val="20"/>
                <w:color w:val="auto"/>
              </w:rPr>
            </w:pPr>
            <w:r>
              <w:rPr>
                <w:rFonts w:ascii="Arial" w:cs="Arial" w:eastAsia="Arial" w:hAnsi="Arial"/>
                <w:sz w:val="11"/>
                <w:szCs w:val="11"/>
                <w:color w:val="1A475F"/>
                <w:w w:val="90"/>
              </w:rPr>
              <w:t>—</w:t>
            </w:r>
          </w:p>
        </w:tc>
        <w:tc>
          <w:tcPr>
            <w:tcW w:w="0" w:type="dxa"/>
            <w:vAlign w:val="bottom"/>
          </w:tcPr>
          <w:p>
            <w:pPr>
              <w:spacing w:after="0"/>
              <w:rPr>
                <w:sz w:val="1"/>
                <w:szCs w:val="1"/>
                <w:color w:val="auto"/>
              </w:rPr>
            </w:pPr>
          </w:p>
        </w:tc>
      </w:tr>
      <w:tr>
        <w:trPr>
          <w:trHeight w:val="116"/>
        </w:trPr>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line="116" w:lineRule="exact"/>
              <w:rPr>
                <w:sz w:val="20"/>
                <w:szCs w:val="20"/>
                <w:color w:val="auto"/>
              </w:rPr>
            </w:pPr>
            <w:r>
              <w:rPr>
                <w:rFonts w:ascii="Arial" w:cs="Arial" w:eastAsia="Arial" w:hAnsi="Arial"/>
                <w:sz w:val="11"/>
                <w:szCs w:val="11"/>
                <w:color w:val="1A475F"/>
              </w:rPr>
              <w:t>PRSUs</w:t>
            </w:r>
          </w:p>
        </w:tc>
        <w:tc>
          <w:tcPr>
            <w:tcW w:w="54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w w:val="97"/>
              </w:rPr>
              <w:t>3/5/2025</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7"/>
              </w:rPr>
              <w:t>1/31/2025</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center"/>
              <w:ind w:right="100"/>
              <w:spacing w:after="0" w:line="116" w:lineRule="exact"/>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640" w:type="dxa"/>
            <w:vAlign w:val="bottom"/>
            <w:gridSpan w:val="2"/>
            <w:shd w:val="clear" w:color="auto" w:fill="CCEEFF"/>
          </w:tcPr>
          <w:p>
            <w:pPr>
              <w:jc w:val="center"/>
              <w:ind w:left="46"/>
              <w:spacing w:after="0" w:line="116" w:lineRule="exact"/>
              <w:rPr>
                <w:sz w:val="20"/>
                <w:szCs w:val="20"/>
                <w:color w:val="auto"/>
              </w:rPr>
            </w:pPr>
            <w:r>
              <w:rPr>
                <w:rFonts w:ascii="Arial" w:cs="Arial" w:eastAsia="Arial" w:hAnsi="Arial"/>
                <w:sz w:val="11"/>
                <w:szCs w:val="11"/>
                <w:color w:val="1A475F"/>
                <w:w w:val="94"/>
              </w:rPr>
              <w:t>1,056</w:t>
            </w:r>
          </w:p>
        </w:tc>
        <w:tc>
          <w:tcPr>
            <w:tcW w:w="400" w:type="dxa"/>
            <w:vAlign w:val="bottom"/>
            <w:gridSpan w:val="2"/>
            <w:shd w:val="clear" w:color="auto" w:fill="CCEEFF"/>
          </w:tcPr>
          <w:p>
            <w:pPr>
              <w:jc w:val="center"/>
              <w:ind w:left="6"/>
              <w:spacing w:after="0" w:line="116" w:lineRule="exact"/>
              <w:rPr>
                <w:sz w:val="20"/>
                <w:szCs w:val="20"/>
                <w:color w:val="auto"/>
              </w:rPr>
            </w:pPr>
            <w:r>
              <w:rPr>
                <w:rFonts w:ascii="Arial" w:cs="Arial" w:eastAsia="Arial" w:hAnsi="Arial"/>
                <w:sz w:val="11"/>
                <w:szCs w:val="11"/>
                <w:color w:val="1A475F"/>
                <w:w w:val="94"/>
              </w:rPr>
              <w:t>2,112</w:t>
            </w:r>
          </w:p>
        </w:tc>
        <w:tc>
          <w:tcPr>
            <w:tcW w:w="60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rPr>
              <w:t>4,224</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60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1"/>
                <w:szCs w:val="11"/>
                <w:color w:val="1A475F"/>
              </w:rPr>
              <w:t>275,004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line="116" w:lineRule="exact"/>
              <w:rPr>
                <w:sz w:val="20"/>
                <w:szCs w:val="20"/>
                <w:color w:val="auto"/>
              </w:rPr>
            </w:pPr>
            <w:r>
              <w:rPr>
                <w:rFonts w:ascii="Arial" w:cs="Arial" w:eastAsia="Arial" w:hAnsi="Arial"/>
                <w:sz w:val="11"/>
                <w:szCs w:val="11"/>
                <w:color w:val="1A475F"/>
              </w:rPr>
              <w:t>RSUs</w:t>
            </w:r>
          </w:p>
        </w:tc>
        <w:tc>
          <w:tcPr>
            <w:tcW w:w="54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w w:val="97"/>
              </w:rPr>
              <w:t>3/5/2025</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7"/>
              </w:rPr>
              <w:t>1/31/2025</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center"/>
              <w:ind w:right="100"/>
              <w:spacing w:after="0" w:line="116" w:lineRule="exact"/>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580" w:type="dxa"/>
            <w:vAlign w:val="bottom"/>
            <w:gridSpan w:val="2"/>
            <w:shd w:val="clear" w:color="auto" w:fill="CCEEFF"/>
          </w:tcPr>
          <w:p>
            <w:pPr>
              <w:jc w:val="center"/>
              <w:ind w:left="6"/>
              <w:spacing w:after="0" w:line="116" w:lineRule="exact"/>
              <w:rPr>
                <w:sz w:val="20"/>
                <w:szCs w:val="20"/>
                <w:color w:val="auto"/>
              </w:rPr>
            </w:pPr>
            <w:r>
              <w:rPr>
                <w:rFonts w:ascii="Arial" w:cs="Arial" w:eastAsia="Arial" w:hAnsi="Arial"/>
                <w:sz w:val="11"/>
                <w:szCs w:val="11"/>
                <w:color w:val="1A475F"/>
              </w:rPr>
              <w:t>4,224</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60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1"/>
                <w:szCs w:val="11"/>
                <w:color w:val="1A475F"/>
              </w:rPr>
              <w:t>550,007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1"/>
                <w:szCs w:val="11"/>
                <w:color w:val="1A475F"/>
              </w:rPr>
              <w:t>Stock Options</w:t>
            </w:r>
          </w:p>
        </w:tc>
        <w:tc>
          <w:tcPr>
            <w:tcW w:w="5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1A475F"/>
                <w:w w:val="97"/>
              </w:rPr>
              <w:t>3/5/2025</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1"/>
                <w:szCs w:val="11"/>
                <w:color w:val="1A475F"/>
                <w:w w:val="97"/>
              </w:rPr>
              <w:t>1/31/2025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1A475F"/>
                <w:w w:val="90"/>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640" w:type="dxa"/>
            <w:vAlign w:val="bottom"/>
            <w:gridSpan w:val="2"/>
            <w:shd w:val="clear" w:color="auto" w:fill="CCEEFF"/>
          </w:tcPr>
          <w:p>
            <w:pPr>
              <w:jc w:val="center"/>
              <w:ind w:left="6"/>
              <w:spacing w:after="0"/>
              <w:rPr>
                <w:sz w:val="20"/>
                <w:szCs w:val="20"/>
                <w:color w:val="auto"/>
              </w:rPr>
            </w:pPr>
            <w:r>
              <w:rPr>
                <w:rFonts w:ascii="Arial" w:cs="Arial" w:eastAsia="Arial" w:hAnsi="Arial"/>
                <w:sz w:val="11"/>
                <w:szCs w:val="11"/>
                <w:color w:val="1A475F"/>
                <w:w w:val="94"/>
              </w:rPr>
              <w:t>4,671</w:t>
            </w:r>
          </w:p>
        </w:tc>
        <w:tc>
          <w:tcPr>
            <w:tcW w:w="540" w:type="dxa"/>
            <w:vAlign w:val="bottom"/>
            <w:gridSpan w:val="2"/>
            <w:shd w:val="clear" w:color="auto" w:fill="CCEEFF"/>
          </w:tcPr>
          <w:p>
            <w:pPr>
              <w:jc w:val="center"/>
              <w:ind w:left="6"/>
              <w:spacing w:after="0"/>
              <w:rPr>
                <w:sz w:val="20"/>
                <w:szCs w:val="20"/>
                <w:color w:val="auto"/>
              </w:rPr>
            </w:pPr>
            <w:r>
              <w:rPr>
                <w:rFonts w:ascii="Arial" w:cs="Arial" w:eastAsia="Arial" w:hAnsi="Arial"/>
                <w:sz w:val="11"/>
                <w:szCs w:val="11"/>
                <w:color w:val="1A475F"/>
                <w:w w:val="94"/>
              </w:rPr>
              <w:t>130.21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1A475F"/>
              </w:rPr>
              <w:t>275,028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00" w:type="dxa"/>
            <w:vAlign w:val="bottom"/>
          </w:tcPr>
          <w:p>
            <w:pPr>
              <w:spacing w:after="0" w:line="101" w:lineRule="exact"/>
              <w:rPr>
                <w:sz w:val="20"/>
                <w:szCs w:val="20"/>
                <w:color w:val="auto"/>
              </w:rPr>
            </w:pPr>
            <w:r>
              <w:rPr>
                <w:rFonts w:ascii="Arial" w:cs="Arial" w:eastAsia="Arial" w:hAnsi="Arial"/>
                <w:sz w:val="11"/>
                <w:szCs w:val="11"/>
                <w:color w:val="1A475F"/>
              </w:rPr>
              <w:t>Mandy Berman</w:t>
            </w:r>
          </w:p>
        </w:tc>
        <w:tc>
          <w:tcPr>
            <w:tcW w:w="60" w:type="dxa"/>
            <w:vAlign w:val="bottom"/>
          </w:tcPr>
          <w:p>
            <w:pPr>
              <w:spacing w:after="0"/>
              <w:rPr>
                <w:sz w:val="8"/>
                <w:szCs w:val="8"/>
                <w:color w:val="auto"/>
              </w:rPr>
            </w:pPr>
          </w:p>
        </w:tc>
        <w:tc>
          <w:tcPr>
            <w:tcW w:w="960" w:type="dxa"/>
            <w:vAlign w:val="bottom"/>
          </w:tcPr>
          <w:p>
            <w:pPr>
              <w:spacing w:after="0" w:line="101" w:lineRule="exact"/>
              <w:rPr>
                <w:sz w:val="20"/>
                <w:szCs w:val="20"/>
                <w:color w:val="auto"/>
              </w:rPr>
            </w:pPr>
            <w:r>
              <w:rPr>
                <w:rFonts w:ascii="Arial" w:cs="Arial" w:eastAsia="Arial" w:hAnsi="Arial"/>
                <w:sz w:val="11"/>
                <w:szCs w:val="11"/>
                <w:color w:val="1A475F"/>
                <w:w w:val="96"/>
              </w:rPr>
              <w:t>Annual Cash Bonus</w:t>
            </w:r>
          </w:p>
        </w:tc>
        <w:tc>
          <w:tcPr>
            <w:tcW w:w="80" w:type="dxa"/>
            <w:vAlign w:val="bottom"/>
          </w:tcPr>
          <w:p>
            <w:pPr>
              <w:spacing w:after="0"/>
              <w:rPr>
                <w:sz w:val="8"/>
                <w:szCs w:val="8"/>
                <w:color w:val="auto"/>
              </w:rPr>
            </w:pPr>
          </w:p>
        </w:tc>
        <w:tc>
          <w:tcPr>
            <w:tcW w:w="580" w:type="dxa"/>
            <w:vAlign w:val="bottom"/>
            <w:gridSpan w:val="2"/>
          </w:tcPr>
          <w:p>
            <w:pPr>
              <w:jc w:val="center"/>
              <w:ind w:right="120"/>
              <w:spacing w:after="0" w:line="101" w:lineRule="exact"/>
              <w:rPr>
                <w:sz w:val="20"/>
                <w:szCs w:val="20"/>
                <w:color w:val="auto"/>
              </w:rPr>
            </w:pPr>
            <w:r>
              <w:rPr>
                <w:rFonts w:ascii="Arial" w:cs="Arial" w:eastAsia="Arial" w:hAnsi="Arial"/>
                <w:sz w:val="11"/>
                <w:szCs w:val="11"/>
                <w:color w:val="1A475F"/>
                <w:w w:val="90"/>
              </w:rPr>
              <w:t>—</w:t>
            </w:r>
          </w:p>
        </w:tc>
        <w:tc>
          <w:tcPr>
            <w:tcW w:w="520" w:type="dxa"/>
            <w:vAlign w:val="bottom"/>
          </w:tcPr>
          <w:p>
            <w:pPr>
              <w:jc w:val="center"/>
              <w:spacing w:after="0" w:line="101" w:lineRule="exact"/>
              <w:rPr>
                <w:sz w:val="20"/>
                <w:szCs w:val="20"/>
                <w:color w:val="auto"/>
              </w:rPr>
            </w:pPr>
            <w:r>
              <w:rPr>
                <w:rFonts w:ascii="Arial" w:cs="Arial" w:eastAsia="Arial" w:hAnsi="Arial"/>
                <w:sz w:val="11"/>
                <w:szCs w:val="11"/>
                <w:color w:val="1A475F"/>
              </w:rPr>
              <w:t>—</w:t>
            </w:r>
          </w:p>
        </w:tc>
        <w:tc>
          <w:tcPr>
            <w:tcW w:w="640" w:type="dxa"/>
            <w:vAlign w:val="bottom"/>
            <w:gridSpan w:val="2"/>
          </w:tcPr>
          <w:p>
            <w:pPr>
              <w:jc w:val="right"/>
              <w:spacing w:after="0" w:line="101" w:lineRule="exact"/>
              <w:rPr>
                <w:sz w:val="20"/>
                <w:szCs w:val="20"/>
                <w:color w:val="auto"/>
              </w:rPr>
            </w:pPr>
            <w:r>
              <w:rPr>
                <w:rFonts w:ascii="Arial" w:cs="Arial" w:eastAsia="Arial" w:hAnsi="Arial"/>
                <w:sz w:val="11"/>
                <w:szCs w:val="11"/>
                <w:color w:val="1A475F"/>
              </w:rPr>
              <w:t>322,920</w:t>
            </w:r>
          </w:p>
        </w:tc>
        <w:tc>
          <w:tcPr>
            <w:tcW w:w="640" w:type="dxa"/>
            <w:vAlign w:val="bottom"/>
            <w:gridSpan w:val="2"/>
          </w:tcPr>
          <w:p>
            <w:pPr>
              <w:jc w:val="right"/>
              <w:spacing w:after="0" w:line="101" w:lineRule="exact"/>
              <w:rPr>
                <w:sz w:val="20"/>
                <w:szCs w:val="20"/>
                <w:color w:val="auto"/>
              </w:rPr>
            </w:pPr>
            <w:r>
              <w:rPr>
                <w:rFonts w:ascii="Arial" w:cs="Arial" w:eastAsia="Arial" w:hAnsi="Arial"/>
                <w:sz w:val="11"/>
                <w:szCs w:val="11"/>
                <w:color w:val="1A475F"/>
              </w:rPr>
              <w:t>430,560</w:t>
            </w:r>
          </w:p>
        </w:tc>
        <w:tc>
          <w:tcPr>
            <w:tcW w:w="120" w:type="dxa"/>
            <w:vAlign w:val="bottom"/>
          </w:tcPr>
          <w:p>
            <w:pPr>
              <w:spacing w:after="0"/>
              <w:rPr>
                <w:sz w:val="8"/>
                <w:szCs w:val="8"/>
                <w:color w:val="auto"/>
              </w:rPr>
            </w:pPr>
          </w:p>
        </w:tc>
        <w:tc>
          <w:tcPr>
            <w:tcW w:w="520" w:type="dxa"/>
            <w:vAlign w:val="bottom"/>
          </w:tcPr>
          <w:p>
            <w:pPr>
              <w:ind w:left="120"/>
              <w:spacing w:after="0" w:line="101" w:lineRule="exact"/>
              <w:rPr>
                <w:sz w:val="20"/>
                <w:szCs w:val="20"/>
                <w:color w:val="auto"/>
              </w:rPr>
            </w:pPr>
            <w:r>
              <w:rPr>
                <w:rFonts w:ascii="Arial" w:cs="Arial" w:eastAsia="Arial" w:hAnsi="Arial"/>
                <w:sz w:val="11"/>
                <w:szCs w:val="11"/>
                <w:color w:val="1A475F"/>
                <w:w w:val="95"/>
              </w:rPr>
              <w:t>861,120</w:t>
            </w:r>
          </w:p>
        </w:tc>
        <w:tc>
          <w:tcPr>
            <w:tcW w:w="100" w:type="dxa"/>
            <w:vAlign w:val="bottom"/>
          </w:tcPr>
          <w:p>
            <w:pPr>
              <w:spacing w:after="0"/>
              <w:rPr>
                <w:sz w:val="8"/>
                <w:szCs w:val="8"/>
                <w:color w:val="auto"/>
              </w:rPr>
            </w:pPr>
          </w:p>
        </w:tc>
        <w:tc>
          <w:tcPr>
            <w:tcW w:w="540" w:type="dxa"/>
            <w:vAlign w:val="bottom"/>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8"/>
                <w:szCs w:val="8"/>
                <w:color w:val="auto"/>
              </w:rPr>
            </w:pPr>
          </w:p>
        </w:tc>
        <w:tc>
          <w:tcPr>
            <w:tcW w:w="320" w:type="dxa"/>
            <w:vAlign w:val="bottom"/>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tcPr>
          <w:p>
            <w:pPr>
              <w:spacing w:after="0"/>
              <w:rPr>
                <w:sz w:val="8"/>
                <w:szCs w:val="8"/>
                <w:color w:val="auto"/>
              </w:rPr>
            </w:pPr>
          </w:p>
        </w:tc>
        <w:tc>
          <w:tcPr>
            <w:tcW w:w="520" w:type="dxa"/>
            <w:vAlign w:val="bottom"/>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tcPr>
          <w:p>
            <w:pPr>
              <w:spacing w:after="0"/>
              <w:rPr>
                <w:sz w:val="8"/>
                <w:szCs w:val="8"/>
                <w:color w:val="auto"/>
              </w:rPr>
            </w:pPr>
          </w:p>
        </w:tc>
        <w:tc>
          <w:tcPr>
            <w:tcW w:w="560" w:type="dxa"/>
            <w:vAlign w:val="bottom"/>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8"/>
                <w:szCs w:val="8"/>
                <w:color w:val="auto"/>
              </w:rPr>
            </w:pPr>
          </w:p>
        </w:tc>
        <w:tc>
          <w:tcPr>
            <w:tcW w:w="560" w:type="dxa"/>
            <w:vAlign w:val="bottom"/>
            <w:gridSpan w:val="2"/>
          </w:tcPr>
          <w:p>
            <w:pPr>
              <w:jc w:val="center"/>
              <w:ind w:right="20"/>
              <w:spacing w:after="0" w:line="101" w:lineRule="exact"/>
              <w:rPr>
                <w:sz w:val="20"/>
                <w:szCs w:val="20"/>
                <w:color w:val="auto"/>
              </w:rPr>
            </w:pPr>
            <w:r>
              <w:rPr>
                <w:rFonts w:ascii="Arial" w:cs="Arial" w:eastAsia="Arial" w:hAnsi="Arial"/>
                <w:sz w:val="11"/>
                <w:szCs w:val="11"/>
                <w:color w:val="1A475F"/>
                <w:w w:val="90"/>
              </w:rPr>
              <w:t>—</w:t>
            </w: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020" w:type="dxa"/>
            <w:vAlign w:val="bottom"/>
            <w:gridSpan w:val="2"/>
          </w:tcPr>
          <w:p>
            <w:pPr>
              <w:ind w:left="60"/>
              <w:spacing w:after="0" w:line="116" w:lineRule="exact"/>
              <w:rPr>
                <w:sz w:val="20"/>
                <w:szCs w:val="20"/>
                <w:color w:val="auto"/>
              </w:rPr>
            </w:pPr>
            <w:r>
              <w:rPr>
                <w:rFonts w:ascii="Arial" w:cs="Arial" w:eastAsia="Arial" w:hAnsi="Arial"/>
                <w:sz w:val="11"/>
                <w:szCs w:val="11"/>
                <w:color w:val="1A475F"/>
              </w:rPr>
              <w:t>PRSUs</w:t>
            </w:r>
          </w:p>
        </w:tc>
        <w:tc>
          <w:tcPr>
            <w:tcW w:w="540" w:type="dxa"/>
            <w:vAlign w:val="bottom"/>
            <w:gridSpan w:val="2"/>
          </w:tcPr>
          <w:p>
            <w:pPr>
              <w:jc w:val="center"/>
              <w:ind w:left="26"/>
              <w:spacing w:after="0" w:line="116" w:lineRule="exact"/>
              <w:rPr>
                <w:sz w:val="20"/>
                <w:szCs w:val="20"/>
                <w:color w:val="auto"/>
              </w:rPr>
            </w:pPr>
            <w:r>
              <w:rPr>
                <w:rFonts w:ascii="Arial" w:cs="Arial" w:eastAsia="Arial" w:hAnsi="Arial"/>
                <w:sz w:val="11"/>
                <w:szCs w:val="11"/>
                <w:color w:val="1A475F"/>
                <w:w w:val="97"/>
              </w:rPr>
              <w:t>3/5/2025</w:t>
            </w:r>
          </w:p>
        </w:tc>
        <w:tc>
          <w:tcPr>
            <w:tcW w:w="12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Arial" w:cs="Arial" w:eastAsia="Arial" w:hAnsi="Arial"/>
                <w:sz w:val="11"/>
                <w:szCs w:val="11"/>
                <w:color w:val="1A475F"/>
                <w:w w:val="97"/>
              </w:rPr>
              <w:t>1/31/2025</w:t>
            </w:r>
          </w:p>
        </w:tc>
        <w:tc>
          <w:tcPr>
            <w:tcW w:w="100" w:type="dxa"/>
            <w:vAlign w:val="bottom"/>
          </w:tcPr>
          <w:p>
            <w:pPr>
              <w:spacing w:after="0"/>
              <w:rPr>
                <w:sz w:val="10"/>
                <w:szCs w:val="10"/>
                <w:color w:val="auto"/>
              </w:rPr>
            </w:pPr>
          </w:p>
        </w:tc>
        <w:tc>
          <w:tcPr>
            <w:tcW w:w="54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120" w:type="dxa"/>
            <w:vAlign w:val="bottom"/>
          </w:tcPr>
          <w:p>
            <w:pPr>
              <w:spacing w:after="0"/>
              <w:rPr>
                <w:sz w:val="10"/>
                <w:szCs w:val="10"/>
                <w:color w:val="auto"/>
              </w:rPr>
            </w:pPr>
          </w:p>
        </w:tc>
        <w:tc>
          <w:tcPr>
            <w:tcW w:w="640" w:type="dxa"/>
            <w:vAlign w:val="bottom"/>
            <w:gridSpan w:val="2"/>
          </w:tcPr>
          <w:p>
            <w:pPr>
              <w:jc w:val="center"/>
              <w:ind w:right="100"/>
              <w:spacing w:after="0" w:line="116" w:lineRule="exact"/>
              <w:rPr>
                <w:sz w:val="20"/>
                <w:szCs w:val="20"/>
                <w:color w:val="auto"/>
              </w:rPr>
            </w:pPr>
            <w:r>
              <w:rPr>
                <w:rFonts w:ascii="Arial" w:cs="Arial" w:eastAsia="Arial" w:hAnsi="Arial"/>
                <w:sz w:val="11"/>
                <w:szCs w:val="11"/>
                <w:color w:val="1A475F"/>
                <w:w w:val="90"/>
              </w:rPr>
              <w:t>—</w:t>
            </w:r>
          </w:p>
        </w:tc>
        <w:tc>
          <w:tcPr>
            <w:tcW w:w="5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640" w:type="dxa"/>
            <w:vAlign w:val="bottom"/>
            <w:gridSpan w:val="2"/>
          </w:tcPr>
          <w:p>
            <w:pPr>
              <w:jc w:val="center"/>
              <w:ind w:left="46"/>
              <w:spacing w:after="0" w:line="116" w:lineRule="exact"/>
              <w:rPr>
                <w:sz w:val="20"/>
                <w:szCs w:val="20"/>
                <w:color w:val="auto"/>
              </w:rPr>
            </w:pPr>
            <w:r>
              <w:rPr>
                <w:rFonts w:ascii="Arial" w:cs="Arial" w:eastAsia="Arial" w:hAnsi="Arial"/>
                <w:sz w:val="11"/>
                <w:szCs w:val="11"/>
                <w:color w:val="1A475F"/>
                <w:w w:val="94"/>
              </w:rPr>
              <w:t>1,056</w:t>
            </w:r>
          </w:p>
        </w:tc>
        <w:tc>
          <w:tcPr>
            <w:tcW w:w="400" w:type="dxa"/>
            <w:vAlign w:val="bottom"/>
            <w:gridSpan w:val="2"/>
          </w:tcPr>
          <w:p>
            <w:pPr>
              <w:jc w:val="center"/>
              <w:ind w:left="6"/>
              <w:spacing w:after="0" w:line="116" w:lineRule="exact"/>
              <w:rPr>
                <w:sz w:val="20"/>
                <w:szCs w:val="20"/>
                <w:color w:val="auto"/>
              </w:rPr>
            </w:pPr>
            <w:r>
              <w:rPr>
                <w:rFonts w:ascii="Arial" w:cs="Arial" w:eastAsia="Arial" w:hAnsi="Arial"/>
                <w:sz w:val="11"/>
                <w:szCs w:val="11"/>
                <w:color w:val="1A475F"/>
                <w:w w:val="94"/>
              </w:rPr>
              <w:t>2,112</w:t>
            </w:r>
          </w:p>
        </w:tc>
        <w:tc>
          <w:tcPr>
            <w:tcW w:w="600" w:type="dxa"/>
            <w:vAlign w:val="bottom"/>
            <w:gridSpan w:val="2"/>
          </w:tcPr>
          <w:p>
            <w:pPr>
              <w:jc w:val="center"/>
              <w:ind w:left="26"/>
              <w:spacing w:after="0" w:line="116" w:lineRule="exact"/>
              <w:rPr>
                <w:sz w:val="20"/>
                <w:szCs w:val="20"/>
                <w:color w:val="auto"/>
              </w:rPr>
            </w:pPr>
            <w:r>
              <w:rPr>
                <w:rFonts w:ascii="Arial" w:cs="Arial" w:eastAsia="Arial" w:hAnsi="Arial"/>
                <w:sz w:val="11"/>
                <w:szCs w:val="11"/>
                <w:color w:val="1A475F"/>
              </w:rPr>
              <w:t>4,224</w:t>
            </w:r>
          </w:p>
        </w:tc>
        <w:tc>
          <w:tcPr>
            <w:tcW w:w="80" w:type="dxa"/>
            <w:vAlign w:val="bottom"/>
          </w:tcPr>
          <w:p>
            <w:pPr>
              <w:spacing w:after="0"/>
              <w:rPr>
                <w:sz w:val="10"/>
                <w:szCs w:val="10"/>
                <w:color w:val="auto"/>
              </w:rPr>
            </w:pPr>
          </w:p>
        </w:tc>
        <w:tc>
          <w:tcPr>
            <w:tcW w:w="50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8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10"/>
                <w:szCs w:val="10"/>
                <w:color w:val="auto"/>
              </w:rPr>
            </w:pPr>
          </w:p>
        </w:tc>
        <w:tc>
          <w:tcPr>
            <w:tcW w:w="4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600" w:type="dxa"/>
            <w:vAlign w:val="bottom"/>
            <w:gridSpan w:val="2"/>
          </w:tcPr>
          <w:p>
            <w:pPr>
              <w:jc w:val="right"/>
              <w:spacing w:after="0" w:line="116" w:lineRule="exact"/>
              <w:rPr>
                <w:sz w:val="20"/>
                <w:szCs w:val="20"/>
                <w:color w:val="auto"/>
              </w:rPr>
            </w:pPr>
            <w:r>
              <w:rPr>
                <w:rFonts w:ascii="Arial" w:cs="Arial" w:eastAsia="Arial" w:hAnsi="Arial"/>
                <w:sz w:val="11"/>
                <w:szCs w:val="11"/>
                <w:color w:val="1A475F"/>
              </w:rPr>
              <w:t>275,004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020" w:type="dxa"/>
            <w:vAlign w:val="bottom"/>
            <w:gridSpan w:val="2"/>
          </w:tcPr>
          <w:p>
            <w:pPr>
              <w:ind w:left="60"/>
              <w:spacing w:after="0" w:line="116" w:lineRule="exact"/>
              <w:rPr>
                <w:sz w:val="20"/>
                <w:szCs w:val="20"/>
                <w:color w:val="auto"/>
              </w:rPr>
            </w:pPr>
            <w:r>
              <w:rPr>
                <w:rFonts w:ascii="Arial" w:cs="Arial" w:eastAsia="Arial" w:hAnsi="Arial"/>
                <w:sz w:val="11"/>
                <w:szCs w:val="11"/>
                <w:color w:val="1A475F"/>
              </w:rPr>
              <w:t>RSUs</w:t>
            </w:r>
          </w:p>
        </w:tc>
        <w:tc>
          <w:tcPr>
            <w:tcW w:w="540" w:type="dxa"/>
            <w:vAlign w:val="bottom"/>
            <w:gridSpan w:val="2"/>
          </w:tcPr>
          <w:p>
            <w:pPr>
              <w:jc w:val="center"/>
              <w:ind w:left="26"/>
              <w:spacing w:after="0" w:line="116" w:lineRule="exact"/>
              <w:rPr>
                <w:sz w:val="20"/>
                <w:szCs w:val="20"/>
                <w:color w:val="auto"/>
              </w:rPr>
            </w:pPr>
            <w:r>
              <w:rPr>
                <w:rFonts w:ascii="Arial" w:cs="Arial" w:eastAsia="Arial" w:hAnsi="Arial"/>
                <w:sz w:val="11"/>
                <w:szCs w:val="11"/>
                <w:color w:val="1A475F"/>
                <w:w w:val="97"/>
              </w:rPr>
              <w:t>3/5/2025</w:t>
            </w:r>
          </w:p>
        </w:tc>
        <w:tc>
          <w:tcPr>
            <w:tcW w:w="12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Arial" w:cs="Arial" w:eastAsia="Arial" w:hAnsi="Arial"/>
                <w:sz w:val="11"/>
                <w:szCs w:val="11"/>
                <w:color w:val="1A475F"/>
                <w:w w:val="97"/>
              </w:rPr>
              <w:t>1/31/2025</w:t>
            </w:r>
          </w:p>
        </w:tc>
        <w:tc>
          <w:tcPr>
            <w:tcW w:w="100" w:type="dxa"/>
            <w:vAlign w:val="bottom"/>
          </w:tcPr>
          <w:p>
            <w:pPr>
              <w:spacing w:after="0"/>
              <w:rPr>
                <w:sz w:val="10"/>
                <w:szCs w:val="10"/>
                <w:color w:val="auto"/>
              </w:rPr>
            </w:pPr>
          </w:p>
        </w:tc>
        <w:tc>
          <w:tcPr>
            <w:tcW w:w="54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120" w:type="dxa"/>
            <w:vAlign w:val="bottom"/>
          </w:tcPr>
          <w:p>
            <w:pPr>
              <w:spacing w:after="0"/>
              <w:rPr>
                <w:sz w:val="10"/>
                <w:szCs w:val="10"/>
                <w:color w:val="auto"/>
              </w:rPr>
            </w:pPr>
          </w:p>
        </w:tc>
        <w:tc>
          <w:tcPr>
            <w:tcW w:w="640" w:type="dxa"/>
            <w:vAlign w:val="bottom"/>
            <w:gridSpan w:val="2"/>
          </w:tcPr>
          <w:p>
            <w:pPr>
              <w:jc w:val="center"/>
              <w:ind w:right="100"/>
              <w:spacing w:after="0" w:line="116" w:lineRule="exact"/>
              <w:rPr>
                <w:sz w:val="20"/>
                <w:szCs w:val="20"/>
                <w:color w:val="auto"/>
              </w:rPr>
            </w:pPr>
            <w:r>
              <w:rPr>
                <w:rFonts w:ascii="Arial" w:cs="Arial" w:eastAsia="Arial" w:hAnsi="Arial"/>
                <w:sz w:val="11"/>
                <w:szCs w:val="11"/>
                <w:color w:val="1A475F"/>
                <w:w w:val="90"/>
              </w:rPr>
              <w:t>—</w:t>
            </w:r>
          </w:p>
        </w:tc>
        <w:tc>
          <w:tcPr>
            <w:tcW w:w="5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100" w:type="dxa"/>
            <w:vAlign w:val="bottom"/>
          </w:tcPr>
          <w:p>
            <w:pPr>
              <w:spacing w:after="0"/>
              <w:rPr>
                <w:sz w:val="10"/>
                <w:szCs w:val="10"/>
                <w:color w:val="auto"/>
              </w:rPr>
            </w:pPr>
          </w:p>
        </w:tc>
        <w:tc>
          <w:tcPr>
            <w:tcW w:w="54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10"/>
                <w:szCs w:val="10"/>
                <w:color w:val="auto"/>
              </w:rPr>
            </w:pPr>
          </w:p>
        </w:tc>
        <w:tc>
          <w:tcPr>
            <w:tcW w:w="3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8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580" w:type="dxa"/>
            <w:vAlign w:val="bottom"/>
            <w:gridSpan w:val="2"/>
          </w:tcPr>
          <w:p>
            <w:pPr>
              <w:jc w:val="center"/>
              <w:ind w:left="6"/>
              <w:spacing w:after="0" w:line="116" w:lineRule="exact"/>
              <w:rPr>
                <w:sz w:val="20"/>
                <w:szCs w:val="20"/>
                <w:color w:val="auto"/>
              </w:rPr>
            </w:pPr>
            <w:r>
              <w:rPr>
                <w:rFonts w:ascii="Arial" w:cs="Arial" w:eastAsia="Arial" w:hAnsi="Arial"/>
                <w:sz w:val="11"/>
                <w:szCs w:val="11"/>
                <w:color w:val="1A475F"/>
              </w:rPr>
              <w:t>4,224</w:t>
            </w:r>
          </w:p>
        </w:tc>
        <w:tc>
          <w:tcPr>
            <w:tcW w:w="8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10"/>
                <w:szCs w:val="10"/>
                <w:color w:val="auto"/>
              </w:rPr>
            </w:pPr>
          </w:p>
        </w:tc>
        <w:tc>
          <w:tcPr>
            <w:tcW w:w="4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600" w:type="dxa"/>
            <w:vAlign w:val="bottom"/>
            <w:gridSpan w:val="2"/>
          </w:tcPr>
          <w:p>
            <w:pPr>
              <w:jc w:val="right"/>
              <w:spacing w:after="0" w:line="116" w:lineRule="exact"/>
              <w:rPr>
                <w:sz w:val="20"/>
                <w:szCs w:val="20"/>
                <w:color w:val="auto"/>
              </w:rPr>
            </w:pPr>
            <w:r>
              <w:rPr>
                <w:rFonts w:ascii="Arial" w:cs="Arial" w:eastAsia="Arial" w:hAnsi="Arial"/>
                <w:sz w:val="11"/>
                <w:szCs w:val="11"/>
                <w:color w:val="1A475F"/>
              </w:rPr>
              <w:t>550,007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color w:val="1A475F"/>
              </w:rPr>
              <w:t>Stock Options</w:t>
            </w:r>
          </w:p>
        </w:tc>
        <w:tc>
          <w:tcPr>
            <w:tcW w:w="540" w:type="dxa"/>
            <w:vAlign w:val="bottom"/>
            <w:gridSpan w:val="2"/>
          </w:tcPr>
          <w:p>
            <w:pPr>
              <w:jc w:val="center"/>
              <w:ind w:left="26"/>
              <w:spacing w:after="0"/>
              <w:rPr>
                <w:sz w:val="20"/>
                <w:szCs w:val="20"/>
                <w:color w:val="auto"/>
              </w:rPr>
            </w:pPr>
            <w:r>
              <w:rPr>
                <w:rFonts w:ascii="Arial" w:cs="Arial" w:eastAsia="Arial" w:hAnsi="Arial"/>
                <w:sz w:val="11"/>
                <w:szCs w:val="11"/>
                <w:color w:val="1A475F"/>
                <w:w w:val="97"/>
              </w:rPr>
              <w:t>3/5/2025</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1A475F"/>
                <w:w w:val="97"/>
              </w:rPr>
              <w:t>1/31/2025</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1A475F"/>
                <w:w w:val="90"/>
              </w:rPr>
              <w:t>—</w:t>
            </w:r>
          </w:p>
        </w:tc>
        <w:tc>
          <w:tcPr>
            <w:tcW w:w="120" w:type="dxa"/>
            <w:vAlign w:val="bottom"/>
          </w:tcPr>
          <w:p>
            <w:pPr>
              <w:spacing w:after="0"/>
              <w:rPr>
                <w:sz w:val="11"/>
                <w:szCs w:val="11"/>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color w:val="1A475F"/>
                <w:w w:val="90"/>
              </w:rPr>
              <w:t>—</w:t>
            </w:r>
          </w:p>
        </w:tc>
        <w:tc>
          <w:tcPr>
            <w:tcW w:w="520" w:type="dxa"/>
            <w:vAlign w:val="bottom"/>
          </w:tcPr>
          <w:p>
            <w:pPr>
              <w:jc w:val="center"/>
              <w:spacing w:after="0"/>
              <w:rPr>
                <w:sz w:val="20"/>
                <w:szCs w:val="20"/>
                <w:color w:val="auto"/>
              </w:rPr>
            </w:pPr>
            <w:r>
              <w:rPr>
                <w:rFonts w:ascii="Arial" w:cs="Arial" w:eastAsia="Arial" w:hAnsi="Arial"/>
                <w:sz w:val="11"/>
                <w:szCs w:val="11"/>
                <w:color w:val="1A475F"/>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1A475F"/>
                <w:w w:val="90"/>
              </w:rPr>
              <w:t>—</w:t>
            </w:r>
          </w:p>
        </w:tc>
        <w:tc>
          <w:tcPr>
            <w:tcW w:w="80" w:type="dxa"/>
            <w:vAlign w:val="bottom"/>
          </w:tcPr>
          <w:p>
            <w:pPr>
              <w:spacing w:after="0"/>
              <w:rPr>
                <w:sz w:val="11"/>
                <w:szCs w:val="11"/>
                <w:color w:val="auto"/>
              </w:rPr>
            </w:pPr>
          </w:p>
        </w:tc>
        <w:tc>
          <w:tcPr>
            <w:tcW w:w="320" w:type="dxa"/>
            <w:vAlign w:val="bottom"/>
          </w:tcPr>
          <w:p>
            <w:pPr>
              <w:jc w:val="center"/>
              <w:spacing w:after="0"/>
              <w:rPr>
                <w:sz w:val="20"/>
                <w:szCs w:val="20"/>
                <w:color w:val="auto"/>
              </w:rPr>
            </w:pPr>
            <w:r>
              <w:rPr>
                <w:rFonts w:ascii="Arial" w:cs="Arial" w:eastAsia="Arial" w:hAnsi="Arial"/>
                <w:sz w:val="11"/>
                <w:szCs w:val="11"/>
                <w:color w:val="1A475F"/>
              </w:rPr>
              <w:t>—</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1A475F"/>
              </w:rPr>
              <w:t>—</w:t>
            </w:r>
          </w:p>
        </w:tc>
        <w:tc>
          <w:tcPr>
            <w:tcW w:w="8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color w:val="1A475F"/>
              </w:rPr>
              <w:t>—</w:t>
            </w:r>
          </w:p>
        </w:tc>
        <w:tc>
          <w:tcPr>
            <w:tcW w:w="640" w:type="dxa"/>
            <w:vAlign w:val="bottom"/>
            <w:gridSpan w:val="2"/>
          </w:tcPr>
          <w:p>
            <w:pPr>
              <w:jc w:val="center"/>
              <w:ind w:left="6"/>
              <w:spacing w:after="0"/>
              <w:rPr>
                <w:sz w:val="20"/>
                <w:szCs w:val="20"/>
                <w:color w:val="auto"/>
              </w:rPr>
            </w:pPr>
            <w:r>
              <w:rPr>
                <w:rFonts w:ascii="Arial" w:cs="Arial" w:eastAsia="Arial" w:hAnsi="Arial"/>
                <w:sz w:val="11"/>
                <w:szCs w:val="11"/>
                <w:color w:val="1A475F"/>
                <w:w w:val="94"/>
              </w:rPr>
              <w:t>4,671</w:t>
            </w:r>
          </w:p>
        </w:tc>
        <w:tc>
          <w:tcPr>
            <w:tcW w:w="540" w:type="dxa"/>
            <w:vAlign w:val="bottom"/>
            <w:gridSpan w:val="2"/>
          </w:tcPr>
          <w:p>
            <w:pPr>
              <w:jc w:val="center"/>
              <w:ind w:left="6"/>
              <w:spacing w:after="0"/>
              <w:rPr>
                <w:sz w:val="20"/>
                <w:szCs w:val="20"/>
                <w:color w:val="auto"/>
              </w:rPr>
            </w:pPr>
            <w:r>
              <w:rPr>
                <w:rFonts w:ascii="Arial" w:cs="Arial" w:eastAsia="Arial" w:hAnsi="Arial"/>
                <w:sz w:val="11"/>
                <w:szCs w:val="11"/>
                <w:color w:val="1A475F"/>
                <w:w w:val="94"/>
              </w:rPr>
              <w:t>130.21</w:t>
            </w:r>
          </w:p>
        </w:tc>
        <w:tc>
          <w:tcPr>
            <w:tcW w:w="600" w:type="dxa"/>
            <w:vAlign w:val="bottom"/>
            <w:gridSpan w:val="2"/>
          </w:tcPr>
          <w:p>
            <w:pPr>
              <w:jc w:val="right"/>
              <w:spacing w:after="0"/>
              <w:rPr>
                <w:sz w:val="20"/>
                <w:szCs w:val="20"/>
                <w:color w:val="auto"/>
              </w:rPr>
            </w:pPr>
            <w:r>
              <w:rPr>
                <w:rFonts w:ascii="Arial" w:cs="Arial" w:eastAsia="Arial" w:hAnsi="Arial"/>
                <w:sz w:val="11"/>
                <w:szCs w:val="11"/>
                <w:color w:val="1A475F"/>
              </w:rPr>
              <w:t>275,028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00" w:type="dxa"/>
            <w:vAlign w:val="bottom"/>
            <w:shd w:val="clear" w:color="auto" w:fill="CCEEFF"/>
          </w:tcPr>
          <w:p>
            <w:pPr>
              <w:spacing w:after="0" w:line="101" w:lineRule="exact"/>
              <w:rPr>
                <w:sz w:val="20"/>
                <w:szCs w:val="20"/>
                <w:color w:val="auto"/>
              </w:rPr>
            </w:pPr>
            <w:r>
              <w:rPr>
                <w:rFonts w:ascii="Arial" w:cs="Arial" w:eastAsia="Arial" w:hAnsi="Arial"/>
                <w:sz w:val="8"/>
                <w:szCs w:val="8"/>
                <w:color w:val="1A475F"/>
              </w:rPr>
              <w:t>Rosamund Marshall</w:t>
            </w:r>
            <w:r>
              <w:rPr>
                <w:rFonts w:ascii="Arial" w:cs="Arial" w:eastAsia="Arial" w:hAnsi="Arial"/>
                <w:sz w:val="11"/>
                <w:szCs w:val="11"/>
                <w:color w:val="1A475F"/>
                <w:vertAlign w:val="superscript"/>
              </w:rPr>
              <w:t>(*)</w:t>
            </w:r>
          </w:p>
        </w:tc>
        <w:tc>
          <w:tcPr>
            <w:tcW w:w="1020" w:type="dxa"/>
            <w:vAlign w:val="bottom"/>
            <w:gridSpan w:val="2"/>
            <w:shd w:val="clear" w:color="auto" w:fill="CCEEFF"/>
          </w:tcPr>
          <w:p>
            <w:pPr>
              <w:ind w:left="60"/>
              <w:spacing w:after="0" w:line="101" w:lineRule="exact"/>
              <w:rPr>
                <w:sz w:val="20"/>
                <w:szCs w:val="20"/>
                <w:color w:val="auto"/>
              </w:rPr>
            </w:pPr>
            <w:r>
              <w:rPr>
                <w:rFonts w:ascii="Arial" w:cs="Arial" w:eastAsia="Arial" w:hAnsi="Arial"/>
                <w:sz w:val="11"/>
                <w:szCs w:val="11"/>
                <w:color w:val="1A475F"/>
                <w:w w:val="96"/>
              </w:rPr>
              <w:t>Annual Cash Bonus</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rPr>
              <w:t>—</w:t>
            </w:r>
          </w:p>
        </w:tc>
        <w:tc>
          <w:tcPr>
            <w:tcW w:w="6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11"/>
                <w:szCs w:val="11"/>
                <w:color w:val="1A475F"/>
              </w:rPr>
              <w:t>255,385</w:t>
            </w:r>
          </w:p>
        </w:tc>
        <w:tc>
          <w:tcPr>
            <w:tcW w:w="6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11"/>
                <w:szCs w:val="11"/>
                <w:color w:val="1A475F"/>
              </w:rPr>
              <w:t>340,513</w:t>
            </w: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ind w:left="120"/>
              <w:spacing w:after="0" w:line="101" w:lineRule="exact"/>
              <w:rPr>
                <w:sz w:val="20"/>
                <w:szCs w:val="20"/>
                <w:color w:val="auto"/>
              </w:rPr>
            </w:pPr>
            <w:r>
              <w:rPr>
                <w:rFonts w:ascii="Arial" w:cs="Arial" w:eastAsia="Arial" w:hAnsi="Arial"/>
                <w:sz w:val="11"/>
                <w:szCs w:val="11"/>
                <w:color w:val="1A475F"/>
                <w:w w:val="95"/>
              </w:rPr>
              <w:t>681,025</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101"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center"/>
              <w:ind w:right="20"/>
              <w:spacing w:after="0" w:line="101" w:lineRule="exact"/>
              <w:rPr>
                <w:sz w:val="20"/>
                <w:szCs w:val="20"/>
                <w:color w:val="auto"/>
              </w:rPr>
            </w:pPr>
            <w:r>
              <w:rPr>
                <w:rFonts w:ascii="Arial" w:cs="Arial" w:eastAsia="Arial" w:hAnsi="Arial"/>
                <w:sz w:val="11"/>
                <w:szCs w:val="11"/>
                <w:color w:val="1A475F"/>
                <w:w w:val="90"/>
              </w:rPr>
              <w:t>—</w:t>
            </w:r>
          </w:p>
        </w:tc>
        <w:tc>
          <w:tcPr>
            <w:tcW w:w="0" w:type="dxa"/>
            <w:vAlign w:val="bottom"/>
          </w:tcPr>
          <w:p>
            <w:pPr>
              <w:spacing w:after="0"/>
              <w:rPr>
                <w:sz w:val="1"/>
                <w:szCs w:val="1"/>
                <w:color w:val="auto"/>
              </w:rPr>
            </w:pPr>
          </w:p>
        </w:tc>
      </w:tr>
      <w:tr>
        <w:trPr>
          <w:trHeight w:val="116"/>
        </w:trPr>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line="116" w:lineRule="exact"/>
              <w:rPr>
                <w:sz w:val="20"/>
                <w:szCs w:val="20"/>
                <w:color w:val="auto"/>
              </w:rPr>
            </w:pPr>
            <w:r>
              <w:rPr>
                <w:rFonts w:ascii="Arial" w:cs="Arial" w:eastAsia="Arial" w:hAnsi="Arial"/>
                <w:sz w:val="11"/>
                <w:szCs w:val="11"/>
                <w:color w:val="1A475F"/>
              </w:rPr>
              <w:t>PRSUs</w:t>
            </w:r>
          </w:p>
        </w:tc>
        <w:tc>
          <w:tcPr>
            <w:tcW w:w="54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w w:val="97"/>
              </w:rPr>
              <w:t>3/5/2025</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7"/>
              </w:rPr>
              <w:t>1/31/2025</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center"/>
              <w:ind w:right="100"/>
              <w:spacing w:after="0" w:line="116" w:lineRule="exact"/>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640" w:type="dxa"/>
            <w:vAlign w:val="bottom"/>
            <w:gridSpan w:val="2"/>
            <w:shd w:val="clear" w:color="auto" w:fill="CCEEFF"/>
          </w:tcPr>
          <w:p>
            <w:pPr>
              <w:jc w:val="center"/>
              <w:ind w:left="46"/>
              <w:spacing w:after="0" w:line="116" w:lineRule="exact"/>
              <w:rPr>
                <w:sz w:val="20"/>
                <w:szCs w:val="20"/>
                <w:color w:val="auto"/>
              </w:rPr>
            </w:pPr>
            <w:r>
              <w:rPr>
                <w:rFonts w:ascii="Arial" w:cs="Arial" w:eastAsia="Arial" w:hAnsi="Arial"/>
                <w:sz w:val="11"/>
                <w:szCs w:val="11"/>
                <w:color w:val="1A475F"/>
                <w:w w:val="97"/>
              </w:rPr>
              <w:t>720</w:t>
            </w:r>
          </w:p>
        </w:tc>
        <w:tc>
          <w:tcPr>
            <w:tcW w:w="40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rPr>
              <w:t>1,440</w:t>
            </w:r>
          </w:p>
        </w:tc>
        <w:tc>
          <w:tcPr>
            <w:tcW w:w="60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rPr>
              <w:t>2,880</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60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1"/>
                <w:szCs w:val="11"/>
                <w:color w:val="1A475F"/>
              </w:rPr>
              <w:t>187,502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line="116" w:lineRule="exact"/>
              <w:rPr>
                <w:sz w:val="20"/>
                <w:szCs w:val="20"/>
                <w:color w:val="auto"/>
              </w:rPr>
            </w:pPr>
            <w:r>
              <w:rPr>
                <w:rFonts w:ascii="Arial" w:cs="Arial" w:eastAsia="Arial" w:hAnsi="Arial"/>
                <w:sz w:val="11"/>
                <w:szCs w:val="11"/>
                <w:color w:val="1A475F"/>
              </w:rPr>
              <w:t>RSUs</w:t>
            </w:r>
          </w:p>
        </w:tc>
        <w:tc>
          <w:tcPr>
            <w:tcW w:w="540" w:type="dxa"/>
            <w:vAlign w:val="bottom"/>
            <w:gridSpan w:val="2"/>
            <w:shd w:val="clear" w:color="auto" w:fill="CCEEFF"/>
          </w:tcPr>
          <w:p>
            <w:pPr>
              <w:jc w:val="center"/>
              <w:ind w:left="26"/>
              <w:spacing w:after="0" w:line="116" w:lineRule="exact"/>
              <w:rPr>
                <w:sz w:val="20"/>
                <w:szCs w:val="20"/>
                <w:color w:val="auto"/>
              </w:rPr>
            </w:pPr>
            <w:r>
              <w:rPr>
                <w:rFonts w:ascii="Arial" w:cs="Arial" w:eastAsia="Arial" w:hAnsi="Arial"/>
                <w:sz w:val="11"/>
                <w:szCs w:val="11"/>
                <w:color w:val="1A475F"/>
                <w:w w:val="97"/>
              </w:rPr>
              <w:t>3/5/2025</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7"/>
              </w:rPr>
              <w:t>1/31/2025</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center"/>
              <w:ind w:right="100"/>
              <w:spacing w:after="0" w:line="116" w:lineRule="exact"/>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580" w:type="dxa"/>
            <w:vAlign w:val="bottom"/>
            <w:gridSpan w:val="2"/>
            <w:shd w:val="clear" w:color="auto" w:fill="CCEEFF"/>
          </w:tcPr>
          <w:p>
            <w:pPr>
              <w:jc w:val="center"/>
              <w:ind w:left="6"/>
              <w:spacing w:after="0" w:line="116" w:lineRule="exact"/>
              <w:rPr>
                <w:sz w:val="20"/>
                <w:szCs w:val="20"/>
                <w:color w:val="auto"/>
              </w:rPr>
            </w:pPr>
            <w:r>
              <w:rPr>
                <w:rFonts w:ascii="Arial" w:cs="Arial" w:eastAsia="Arial" w:hAnsi="Arial"/>
                <w:sz w:val="11"/>
                <w:szCs w:val="11"/>
                <w:color w:val="1A475F"/>
              </w:rPr>
              <w:t>2,880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60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1"/>
                <w:szCs w:val="11"/>
                <w:color w:val="1A475F"/>
              </w:rPr>
              <w:t>375,005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1"/>
                <w:szCs w:val="11"/>
                <w:color w:val="1A475F"/>
              </w:rPr>
              <w:t>Stock Options</w:t>
            </w:r>
          </w:p>
        </w:tc>
        <w:tc>
          <w:tcPr>
            <w:tcW w:w="5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1A475F"/>
                <w:w w:val="97"/>
              </w:rPr>
              <w:t>3/5/2025</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1"/>
                <w:szCs w:val="11"/>
                <w:color w:val="1A475F"/>
                <w:w w:val="97"/>
              </w:rPr>
              <w:t>1/31/2025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1A475F"/>
                <w:w w:val="90"/>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1A475F"/>
                <w:w w:val="90"/>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1A475F"/>
                <w:w w:val="90"/>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1"/>
                <w:szCs w:val="11"/>
                <w:color w:val="1A475F"/>
              </w:rPr>
              <w:t>—</w:t>
            </w:r>
          </w:p>
        </w:tc>
        <w:tc>
          <w:tcPr>
            <w:tcW w:w="640" w:type="dxa"/>
            <w:vAlign w:val="bottom"/>
            <w:gridSpan w:val="2"/>
            <w:shd w:val="clear" w:color="auto" w:fill="CCEEFF"/>
          </w:tcPr>
          <w:p>
            <w:pPr>
              <w:jc w:val="center"/>
              <w:ind w:left="6"/>
              <w:spacing w:after="0"/>
              <w:rPr>
                <w:sz w:val="20"/>
                <w:szCs w:val="20"/>
                <w:color w:val="auto"/>
              </w:rPr>
            </w:pPr>
            <w:r>
              <w:rPr>
                <w:rFonts w:ascii="Arial" w:cs="Arial" w:eastAsia="Arial" w:hAnsi="Arial"/>
                <w:sz w:val="11"/>
                <w:szCs w:val="11"/>
                <w:color w:val="1A475F"/>
                <w:w w:val="94"/>
              </w:rPr>
              <w:t>3,185</w:t>
            </w:r>
          </w:p>
        </w:tc>
        <w:tc>
          <w:tcPr>
            <w:tcW w:w="540" w:type="dxa"/>
            <w:vAlign w:val="bottom"/>
            <w:gridSpan w:val="2"/>
            <w:shd w:val="clear" w:color="auto" w:fill="CCEEFF"/>
          </w:tcPr>
          <w:p>
            <w:pPr>
              <w:jc w:val="center"/>
              <w:ind w:left="6"/>
              <w:spacing w:after="0"/>
              <w:rPr>
                <w:sz w:val="20"/>
                <w:szCs w:val="20"/>
                <w:color w:val="auto"/>
              </w:rPr>
            </w:pPr>
            <w:r>
              <w:rPr>
                <w:rFonts w:ascii="Arial" w:cs="Arial" w:eastAsia="Arial" w:hAnsi="Arial"/>
                <w:sz w:val="11"/>
                <w:szCs w:val="11"/>
                <w:color w:val="1A475F"/>
                <w:w w:val="94"/>
              </w:rPr>
              <w:t>130.21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1A475F"/>
              </w:rPr>
              <w:t>187,533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80645</wp:posOffset>
            </wp:positionV>
            <wp:extent cx="65405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4" w:lineRule="exact"/>
        <w:rPr>
          <w:sz w:val="20"/>
          <w:szCs w:val="20"/>
          <w:color w:val="auto"/>
        </w:rPr>
      </w:pPr>
    </w:p>
    <w:p>
      <w:pPr>
        <w:ind w:left="1280" w:right="160" w:hanging="379"/>
        <w:spacing w:after="0" w:line="252" w:lineRule="auto"/>
        <w:tabs>
          <w:tab w:leader="none" w:pos="1280" w:val="left"/>
        </w:tabs>
        <w:numPr>
          <w:ilvl w:val="0"/>
          <w:numId w:val="61"/>
        </w:numPr>
        <w:rPr>
          <w:rFonts w:ascii="Arial" w:cs="Arial" w:eastAsia="Arial" w:hAnsi="Arial"/>
          <w:sz w:val="12"/>
          <w:szCs w:val="12"/>
          <w:color w:val="1A475F"/>
        </w:rPr>
      </w:pPr>
      <w:r>
        <w:rPr>
          <w:rFonts w:ascii="Arial" w:cs="Arial" w:eastAsia="Arial" w:hAnsi="Arial"/>
          <w:sz w:val="12"/>
          <w:szCs w:val="12"/>
          <w:color w:val="1A475F"/>
        </w:rPr>
        <w:t>The amounts reported for Ms. Marshall were converted from British pounds to U.S. dollars using the average exchange rate for 2025 of 1.3181 U.S. dollars per 1.00 British pound.</w:t>
      </w:r>
    </w:p>
    <w:p>
      <w:pPr>
        <w:ind w:left="1280" w:right="60" w:hanging="379"/>
        <w:spacing w:after="0" w:line="241" w:lineRule="auto"/>
        <w:tabs>
          <w:tab w:leader="none" w:pos="1280" w:val="left"/>
        </w:tabs>
        <w:numPr>
          <w:ilvl w:val="0"/>
          <w:numId w:val="62"/>
        </w:numPr>
        <w:rPr>
          <w:rFonts w:ascii="Arial" w:cs="Arial" w:eastAsia="Arial" w:hAnsi="Arial"/>
          <w:sz w:val="12"/>
          <w:szCs w:val="12"/>
          <w:color w:val="1A475F"/>
        </w:rPr>
      </w:pPr>
      <w:r>
        <w:rPr>
          <w:rFonts w:ascii="Arial" w:cs="Arial" w:eastAsia="Arial" w:hAnsi="Arial"/>
          <w:sz w:val="12"/>
          <w:szCs w:val="12"/>
          <w:color w:val="1A475F"/>
        </w:rPr>
        <w:t>These amounts represent the cash bonus opportunity under our 2025 annual cash bonus plan with respect to both Company and individual performance. The threshold amount reflects the minimum amount payable under the annual cash bonus plan based on achievement of 100% of the annual cash bonus tied to individual performance and achievement of 50% of the target annual cash bonus tied to corporate performance. The target amount reflects 100% of the annual cash bonus tied to individual performance and achievement of 100% of the target annual cash bonus tied to corporate performance. The maximum amounts represent achievement of 100% of the target annual cash bonus tied to individual performance and achievement of 300% (the maximum permitted) of the target annual cash bonus tied to corporate performance. The actual amount of the bonus earned by each NEO for 2025 is reported in the “Summary Compensation Table.” For a description of the Company and individual performance targets relating to the annual cash bonus, please refer to “Elements of Executive Compensation—Annual Cash Bonus” above.</w:t>
      </w:r>
    </w:p>
    <w:p>
      <w:pPr>
        <w:spacing w:after="0" w:line="2" w:lineRule="exact"/>
        <w:rPr>
          <w:rFonts w:ascii="Arial" w:cs="Arial" w:eastAsia="Arial" w:hAnsi="Arial"/>
          <w:sz w:val="12"/>
          <w:szCs w:val="12"/>
          <w:color w:val="1A475F"/>
        </w:rPr>
      </w:pPr>
    </w:p>
    <w:p>
      <w:pPr>
        <w:ind w:left="1280" w:right="440" w:hanging="379"/>
        <w:spacing w:after="0" w:line="261" w:lineRule="auto"/>
        <w:tabs>
          <w:tab w:leader="none" w:pos="1280" w:val="left"/>
        </w:tabs>
        <w:numPr>
          <w:ilvl w:val="0"/>
          <w:numId w:val="62"/>
        </w:numPr>
        <w:rPr>
          <w:rFonts w:ascii="Arial" w:cs="Arial" w:eastAsia="Arial" w:hAnsi="Arial"/>
          <w:sz w:val="12"/>
          <w:szCs w:val="12"/>
          <w:color w:val="1A475F"/>
        </w:rPr>
      </w:pPr>
      <w:r>
        <w:rPr>
          <w:rFonts w:ascii="Arial" w:cs="Arial" w:eastAsia="Arial" w:hAnsi="Arial"/>
          <w:sz w:val="12"/>
          <w:szCs w:val="12"/>
          <w:color w:val="1A475F"/>
        </w:rPr>
        <w:t>These columns reflect the threshold, target, and maximum number of units payable under the PRSU awards granted to NEOs in 2025. See the “Compensation Discussion and Analysis” in this Proxy Statement for a discussion of the performance measures and vesting criteria</w:t>
      </w:r>
    </w:p>
    <w:p>
      <w:pPr>
        <w:spacing w:after="0" w:line="84" w:lineRule="exact"/>
        <w:rPr>
          <w:sz w:val="20"/>
          <w:szCs w:val="20"/>
          <w:color w:val="auto"/>
        </w:rPr>
      </w:pPr>
    </w:p>
    <w:p>
      <w:pPr>
        <w:ind w:left="8040"/>
        <w:spacing w:after="0"/>
        <w:tabs>
          <w:tab w:leader="none" w:pos="9880" w:val="left"/>
          <w:tab w:leader="none" w:pos="101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45</w:t>
      </w:r>
    </w:p>
    <w:p>
      <w:pPr>
        <w:sectPr>
          <w:pgSz w:w="11900" w:h="16838" w:orient="portrait"/>
          <w:cols w:equalWidth="0" w:num="1">
            <w:col w:w="10360"/>
          </w:cols>
          <w:pgMar w:left="320" w:top="434" w:right="12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90" w:lineRule="exact"/>
        <w:rPr>
          <w:sz w:val="20"/>
          <w:szCs w:val="20"/>
          <w:color w:val="auto"/>
        </w:rPr>
      </w:pPr>
    </w:p>
    <w:p>
      <w:pPr>
        <w:ind w:left="1280" w:right="440"/>
        <w:spacing w:after="0" w:line="252" w:lineRule="auto"/>
        <w:rPr>
          <w:sz w:val="20"/>
          <w:szCs w:val="20"/>
          <w:color w:val="auto"/>
        </w:rPr>
      </w:pPr>
      <w:r>
        <w:rPr>
          <w:rFonts w:ascii="Arial" w:cs="Arial" w:eastAsia="Arial" w:hAnsi="Arial"/>
          <w:sz w:val="12"/>
          <w:szCs w:val="12"/>
          <w:color w:val="1A475F"/>
        </w:rPr>
        <w:t>applicable to the PRSUs granted in 2025. The actual payout amounts depend upon the satisfaction of the performance measures over the performance period and the certification of the Compensation Committee. Grant date values are determined in accordance with ASC Topic 718.</w:t>
      </w:r>
    </w:p>
    <w:p>
      <w:pPr>
        <w:ind w:left="1280" w:right="580" w:hanging="379"/>
        <w:spacing w:after="0" w:line="241" w:lineRule="auto"/>
        <w:tabs>
          <w:tab w:leader="none" w:pos="1280" w:val="left"/>
        </w:tabs>
        <w:numPr>
          <w:ilvl w:val="0"/>
          <w:numId w:val="63"/>
        </w:numPr>
        <w:rPr>
          <w:rFonts w:ascii="Arial" w:cs="Arial" w:eastAsia="Arial" w:hAnsi="Arial"/>
          <w:sz w:val="12"/>
          <w:szCs w:val="12"/>
          <w:color w:val="1A475F"/>
        </w:rPr>
      </w:pPr>
      <w:r>
        <w:rPr>
          <w:rFonts w:ascii="Arial" w:cs="Arial" w:eastAsia="Arial" w:hAnsi="Arial"/>
          <w:sz w:val="12"/>
          <w:szCs w:val="12"/>
          <w:color w:val="1A475F"/>
        </w:rPr>
        <w:t>This column reflects the number of RSUs granted to NEOs in 2025. RSUs vest as to 100% on the third anniversary of the date of grant, subject to continued service with the Company through the vesting date.</w:t>
      </w:r>
    </w:p>
    <w:p>
      <w:pPr>
        <w:ind w:left="1280" w:right="580" w:hanging="379"/>
        <w:spacing w:after="0" w:line="241" w:lineRule="auto"/>
        <w:tabs>
          <w:tab w:leader="none" w:pos="1280" w:val="left"/>
        </w:tabs>
        <w:numPr>
          <w:ilvl w:val="0"/>
          <w:numId w:val="63"/>
        </w:numPr>
        <w:rPr>
          <w:rFonts w:ascii="Arial" w:cs="Arial" w:eastAsia="Arial" w:hAnsi="Arial"/>
          <w:sz w:val="12"/>
          <w:szCs w:val="12"/>
          <w:color w:val="1A475F"/>
        </w:rPr>
      </w:pPr>
      <w:r>
        <w:rPr>
          <w:rFonts w:ascii="Arial" w:cs="Arial" w:eastAsia="Arial" w:hAnsi="Arial"/>
          <w:sz w:val="12"/>
          <w:szCs w:val="12"/>
          <w:color w:val="1A475F"/>
        </w:rPr>
        <w:t>These amounts reflect options to purchase shares of our common stock granted to NEOs in 2025. Stock options vest in three equal installments on the first, second and third anniversaries of the date of grant, subject to continued service with the Company through each applicable vesting date, and have a term of ten years.</w:t>
      </w:r>
    </w:p>
    <w:p>
      <w:pPr>
        <w:ind w:left="1280" w:hanging="379"/>
        <w:spacing w:after="0"/>
        <w:tabs>
          <w:tab w:leader="none" w:pos="1280" w:val="left"/>
        </w:tabs>
        <w:numPr>
          <w:ilvl w:val="0"/>
          <w:numId w:val="63"/>
        </w:numPr>
        <w:rPr>
          <w:rFonts w:ascii="Arial" w:cs="Arial" w:eastAsia="Arial" w:hAnsi="Arial"/>
          <w:sz w:val="12"/>
          <w:szCs w:val="12"/>
          <w:color w:val="1A475F"/>
        </w:rPr>
      </w:pPr>
      <w:r>
        <w:rPr>
          <w:rFonts w:ascii="Arial" w:cs="Arial" w:eastAsia="Arial" w:hAnsi="Arial"/>
          <w:sz w:val="12"/>
          <w:szCs w:val="12"/>
          <w:color w:val="1A475F"/>
        </w:rPr>
        <w:t>The exercise price of each stock option is equal to the fair market value of a share of our common stock on the grant date.</w:t>
      </w:r>
    </w:p>
    <w:p>
      <w:pPr>
        <w:ind w:left="1280" w:right="460" w:hanging="379"/>
        <w:spacing w:after="0" w:line="246" w:lineRule="auto"/>
        <w:tabs>
          <w:tab w:leader="none" w:pos="1280" w:val="left"/>
        </w:tabs>
        <w:numPr>
          <w:ilvl w:val="0"/>
          <w:numId w:val="63"/>
        </w:numPr>
        <w:rPr>
          <w:rFonts w:ascii="Arial" w:cs="Arial" w:eastAsia="Arial" w:hAnsi="Arial"/>
          <w:sz w:val="12"/>
          <w:szCs w:val="12"/>
          <w:color w:val="1A475F"/>
        </w:rPr>
      </w:pPr>
      <w:r>
        <w:rPr>
          <w:rFonts w:ascii="Arial" w:cs="Arial" w:eastAsia="Arial" w:hAnsi="Arial"/>
          <w:sz w:val="12"/>
          <w:szCs w:val="12"/>
          <w:color w:val="1A475F"/>
        </w:rPr>
        <w:t>Amounts shown reflect the total grant date fair value as determined in accordance with FASB ASC Topic 718. Assumptions used in the calculation of these amounts are included in Note 14 to our audited consolidated financial statements included in our 2025 Annual Report. These amounts do not reflect actual amounts that may be paid to or realized by our NEOs and do not contemplate forfeitures by the respective executives. Pursuant to SEC rules, the amounts shown for awards subject to performance conditions are based on the probable outcome as of the date of grant and are shown at target. See footnotes (3) and (4) to the “Summary Compensation Table” for additional information regarding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121920</wp:posOffset>
            </wp:positionV>
            <wp:extent cx="5997575" cy="183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13"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Outstanding Equity Awards at Fiscal Year-End</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1A475F"/>
        </w:rPr>
        <w:t>The following table sets forth information regarding equity awards held by our NEOs as of December 31, 2025.</w:t>
      </w:r>
    </w:p>
    <w:p>
      <w:pPr>
        <w:spacing w:after="0" w:line="209" w:lineRule="exact"/>
        <w:rPr>
          <w:sz w:val="20"/>
          <w:szCs w:val="20"/>
          <w:color w:val="auto"/>
        </w:rPr>
      </w:pPr>
    </w:p>
    <w:tbl>
      <w:tblPr>
        <w:tblLayout w:type="fixed"/>
        <w:tblInd w:w="900" w:type="dxa"/>
        <w:tblCellMar>
          <w:top w:w="0" w:type="dxa"/>
          <w:left w:w="0" w:type="dxa"/>
          <w:bottom w:w="0" w:type="dxa"/>
          <w:right w:w="0" w:type="dxa"/>
        </w:tblCellMar>
      </w:tblPr>
      <w:tr>
        <w:trPr>
          <w:trHeight w:val="154"/>
        </w:trPr>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1A475F"/>
              </w:rPr>
              <w:t>Option Awards</w:t>
            </w:r>
            <w:r>
              <w:rPr>
                <w:rFonts w:ascii="Arial" w:cs="Arial" w:eastAsia="Arial" w:hAnsi="Arial"/>
                <w:sz w:val="9"/>
                <w:szCs w:val="9"/>
                <w:b w:val="1"/>
                <w:bCs w:val="1"/>
                <w:color w:val="1A475F"/>
              </w:rPr>
              <w:t>(1)</w:t>
            </w: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1A475F"/>
              </w:rPr>
              <w:t>Stock Awards</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spacing w:after="0" w:line="116" w:lineRule="exact"/>
              <w:rPr>
                <w:sz w:val="20"/>
                <w:szCs w:val="20"/>
                <w:color w:val="auto"/>
              </w:rPr>
            </w:pPr>
            <w:r>
              <w:rPr>
                <w:rFonts w:ascii="Arial" w:cs="Arial" w:eastAsia="Arial" w:hAnsi="Arial"/>
                <w:sz w:val="13"/>
                <w:szCs w:val="13"/>
                <w:b w:val="1"/>
                <w:bCs w:val="1"/>
                <w:color w:val="1A475F"/>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1A475F"/>
              </w:rPr>
              <w:t>Equity</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w w:val="99"/>
              </w:rPr>
              <w:t>Incentive</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rPr>
              <w:t>Plan</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Incentive</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rPr>
              <w:t>Awards:</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w w:val="94"/>
              </w:rPr>
              <w:t>Plan</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rPr>
              <w:t>Market or</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w w:val="97"/>
              </w:rPr>
              <w:t>Awards:</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rPr>
              <w:t>Payout</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Number of</w:t>
            </w:r>
          </w:p>
        </w:tc>
        <w:tc>
          <w:tcPr>
            <w:tcW w:w="60" w:type="dxa"/>
            <w:vAlign w:val="bottom"/>
          </w:tcPr>
          <w:p>
            <w:pPr>
              <w:spacing w:after="0"/>
              <w:rPr>
                <w:sz w:val="12"/>
                <w:szCs w:val="12"/>
                <w:color w:val="auto"/>
              </w:rPr>
            </w:pPr>
          </w:p>
        </w:tc>
        <w:tc>
          <w:tcPr>
            <w:tcW w:w="720" w:type="dxa"/>
            <w:vAlign w:val="bottom"/>
            <w:gridSpan w:val="2"/>
          </w:tcPr>
          <w:p>
            <w:pPr>
              <w:jc w:val="center"/>
              <w:ind w:right="20"/>
              <w:spacing w:after="0" w:line="139" w:lineRule="exact"/>
              <w:rPr>
                <w:sz w:val="20"/>
                <w:szCs w:val="20"/>
                <w:color w:val="auto"/>
              </w:rPr>
            </w:pPr>
            <w:r>
              <w:rPr>
                <w:rFonts w:ascii="Arial" w:cs="Arial" w:eastAsia="Arial" w:hAnsi="Arial"/>
                <w:sz w:val="13"/>
                <w:szCs w:val="13"/>
                <w:b w:val="1"/>
                <w:bCs w:val="1"/>
                <w:color w:val="1A475F"/>
                <w:w w:val="98"/>
              </w:rPr>
              <w:t>Value of</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Unearned</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w w:val="99"/>
              </w:rPr>
              <w:t>Unearned</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1A475F"/>
                <w:w w:val="98"/>
              </w:rPr>
              <w:t>Number of</w:t>
            </w:r>
          </w:p>
        </w:tc>
        <w:tc>
          <w:tcPr>
            <w:tcW w:w="40" w:type="dxa"/>
            <w:vAlign w:val="bottom"/>
          </w:tcPr>
          <w:p>
            <w:pPr>
              <w:spacing w:after="0"/>
              <w:rPr>
                <w:sz w:val="12"/>
                <w:szCs w:val="12"/>
                <w:color w:val="auto"/>
              </w:rPr>
            </w:pPr>
          </w:p>
        </w:tc>
        <w:tc>
          <w:tcPr>
            <w:tcW w:w="136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1A475F"/>
              </w:rPr>
              <w:t>Number of</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1A475F"/>
              </w:rPr>
              <w:t>Number of</w:t>
            </w: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1A475F"/>
              </w:rPr>
              <w:t>Market Value</w:t>
            </w: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w w:val="97"/>
              </w:rPr>
              <w:t>Shares,</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rPr>
              <w:t>Shares,</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Units or</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w w:val="97"/>
              </w:rPr>
              <w:t>Units or</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Securities</w:t>
            </w:r>
          </w:p>
        </w:tc>
        <w:tc>
          <w:tcPr>
            <w:tcW w:w="40" w:type="dxa"/>
            <w:vAlign w:val="bottom"/>
          </w:tcPr>
          <w:p>
            <w:pPr>
              <w:spacing w:after="0"/>
              <w:rPr>
                <w:sz w:val="12"/>
                <w:szCs w:val="12"/>
                <w:color w:val="auto"/>
              </w:rPr>
            </w:pPr>
          </w:p>
        </w:tc>
        <w:tc>
          <w:tcPr>
            <w:tcW w:w="136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rPr>
              <w:t>Securities</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1A475F"/>
              </w:rPr>
              <w:t>Shares or</w:t>
            </w:r>
          </w:p>
        </w:tc>
        <w:tc>
          <w:tcPr>
            <w:tcW w:w="14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of Shares or</w:t>
            </w: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w w:val="97"/>
              </w:rPr>
              <w:t>Other</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rPr>
              <w:t>Other</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Underlying</w:t>
            </w:r>
          </w:p>
        </w:tc>
        <w:tc>
          <w:tcPr>
            <w:tcW w:w="40" w:type="dxa"/>
            <w:vAlign w:val="bottom"/>
          </w:tcPr>
          <w:p>
            <w:pPr>
              <w:spacing w:after="0"/>
              <w:rPr>
                <w:sz w:val="12"/>
                <w:szCs w:val="12"/>
                <w:color w:val="auto"/>
              </w:rPr>
            </w:pPr>
          </w:p>
        </w:tc>
        <w:tc>
          <w:tcPr>
            <w:tcW w:w="136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rPr>
              <w:t>Underlying</w:t>
            </w:r>
          </w:p>
        </w:tc>
        <w:tc>
          <w:tcPr>
            <w:tcW w:w="104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1A475F"/>
              </w:rPr>
              <w:t>Option</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1A475F"/>
              </w:rPr>
              <w:t>Option</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1A475F"/>
              </w:rPr>
              <w:t>Option</w:t>
            </w:r>
          </w:p>
        </w:tc>
        <w:tc>
          <w:tcPr>
            <w:tcW w:w="120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1A475F"/>
              </w:rPr>
              <w:t>Units of</w:t>
            </w:r>
          </w:p>
        </w:tc>
        <w:tc>
          <w:tcPr>
            <w:tcW w:w="14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Units of</w:t>
            </w: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Rights</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w w:val="98"/>
              </w:rPr>
              <w:t>Rights</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Unexercised</w:t>
            </w:r>
          </w:p>
        </w:tc>
        <w:tc>
          <w:tcPr>
            <w:tcW w:w="40" w:type="dxa"/>
            <w:vAlign w:val="bottom"/>
          </w:tcPr>
          <w:p>
            <w:pPr>
              <w:spacing w:after="0"/>
              <w:rPr>
                <w:sz w:val="12"/>
                <w:szCs w:val="12"/>
                <w:color w:val="auto"/>
              </w:rPr>
            </w:pPr>
          </w:p>
        </w:tc>
        <w:tc>
          <w:tcPr>
            <w:tcW w:w="136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1A475F"/>
              </w:rPr>
              <w:t>Unexercised</w:t>
            </w:r>
          </w:p>
        </w:tc>
        <w:tc>
          <w:tcPr>
            <w:tcW w:w="104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1A475F"/>
                <w:w w:val="98"/>
              </w:rPr>
              <w:t>Stock that</w:t>
            </w:r>
          </w:p>
        </w:tc>
        <w:tc>
          <w:tcPr>
            <w:tcW w:w="14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w w:val="98"/>
              </w:rPr>
              <w:t>Stock that</w:t>
            </w: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w w:val="94"/>
              </w:rPr>
              <w:t>That</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rPr>
              <w:t>That</w:t>
            </w:r>
          </w:p>
        </w:tc>
        <w:tc>
          <w:tcPr>
            <w:tcW w:w="0" w:type="dxa"/>
            <w:vAlign w:val="bottom"/>
          </w:tcPr>
          <w:p>
            <w:pPr>
              <w:spacing w:after="0"/>
              <w:rPr>
                <w:sz w:val="1"/>
                <w:szCs w:val="1"/>
                <w:color w:val="auto"/>
              </w:rPr>
            </w:pPr>
          </w:p>
        </w:tc>
      </w:tr>
      <w:tr>
        <w:trPr>
          <w:trHeight w:val="139"/>
        </w:trPr>
        <w:tc>
          <w:tcPr>
            <w:tcW w:w="640" w:type="dxa"/>
            <w:vAlign w:val="bottom"/>
            <w:vMerge w:val="restart"/>
          </w:tcPr>
          <w:p>
            <w:pPr>
              <w:spacing w:after="0"/>
              <w:rPr>
                <w:sz w:val="20"/>
                <w:szCs w:val="20"/>
                <w:color w:val="auto"/>
              </w:rPr>
            </w:pPr>
            <w:r>
              <w:rPr>
                <w:rFonts w:ascii="Arial" w:cs="Arial" w:eastAsia="Arial" w:hAnsi="Arial"/>
                <w:sz w:val="13"/>
                <w:szCs w:val="13"/>
                <w:b w:val="1"/>
                <w:bCs w:val="1"/>
                <w:color w:val="1A475F"/>
              </w:rPr>
              <w:t>Name</w:t>
            </w:r>
          </w:p>
        </w:tc>
        <w:tc>
          <w:tcPr>
            <w:tcW w:w="4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w w:val="99"/>
              </w:rPr>
              <w:t>Options (#)</w:t>
            </w:r>
          </w:p>
        </w:tc>
        <w:tc>
          <w:tcPr>
            <w:tcW w:w="40" w:type="dxa"/>
            <w:vAlign w:val="bottom"/>
          </w:tcPr>
          <w:p>
            <w:pPr>
              <w:spacing w:after="0"/>
              <w:rPr>
                <w:sz w:val="12"/>
                <w:szCs w:val="12"/>
                <w:color w:val="auto"/>
              </w:rPr>
            </w:pPr>
          </w:p>
        </w:tc>
        <w:tc>
          <w:tcPr>
            <w:tcW w:w="136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w w:val="99"/>
              </w:rPr>
              <w:t>Options (#)</w:t>
            </w:r>
          </w:p>
        </w:tc>
        <w:tc>
          <w:tcPr>
            <w:tcW w:w="104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1A475F"/>
              </w:rPr>
              <w:t>Exercise</w:t>
            </w:r>
          </w:p>
        </w:tc>
        <w:tc>
          <w:tcPr>
            <w:tcW w:w="74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1A475F"/>
              </w:rPr>
              <w:t>Grant</w:t>
            </w:r>
          </w:p>
        </w:tc>
        <w:tc>
          <w:tcPr>
            <w:tcW w:w="72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1A475F"/>
              </w:rPr>
              <w:t>Expiration</w:t>
            </w:r>
          </w:p>
        </w:tc>
        <w:tc>
          <w:tcPr>
            <w:tcW w:w="120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1A475F"/>
              </w:rPr>
              <w:t>Have Not</w:t>
            </w:r>
          </w:p>
        </w:tc>
        <w:tc>
          <w:tcPr>
            <w:tcW w:w="14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Have Not</w:t>
            </w:r>
          </w:p>
        </w:tc>
        <w:tc>
          <w:tcPr>
            <w:tcW w:w="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1A475F"/>
              </w:rPr>
              <w:t>Have Not</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1A475F"/>
                <w:w w:val="99"/>
              </w:rPr>
              <w:t>Have Not</w:t>
            </w:r>
          </w:p>
        </w:tc>
        <w:tc>
          <w:tcPr>
            <w:tcW w:w="0" w:type="dxa"/>
            <w:vAlign w:val="bottom"/>
          </w:tcPr>
          <w:p>
            <w:pPr>
              <w:spacing w:after="0"/>
              <w:rPr>
                <w:sz w:val="1"/>
                <w:szCs w:val="1"/>
                <w:color w:val="auto"/>
              </w:rPr>
            </w:pPr>
          </w:p>
        </w:tc>
      </w:tr>
      <w:tr>
        <w:trPr>
          <w:trHeight w:val="154"/>
        </w:trPr>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1A475F"/>
                <w:w w:val="99"/>
              </w:rPr>
              <w:t>Exercisable</w:t>
            </w:r>
          </w:p>
        </w:tc>
        <w:tc>
          <w:tcPr>
            <w:tcW w:w="40" w:type="dxa"/>
            <w:vAlign w:val="bottom"/>
          </w:tcPr>
          <w:p>
            <w:pPr>
              <w:spacing w:after="0"/>
              <w:rPr>
                <w:sz w:val="13"/>
                <w:szCs w:val="13"/>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1A475F"/>
                <w:w w:val="99"/>
              </w:rPr>
              <w:t>Unexercisable</w:t>
            </w:r>
          </w:p>
        </w:tc>
        <w:tc>
          <w:tcPr>
            <w:tcW w:w="10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1A475F"/>
              </w:rPr>
              <w:t>Price</w:t>
            </w:r>
            <w:r>
              <w:rPr>
                <w:rFonts w:ascii="Arial" w:cs="Arial" w:eastAsia="Arial" w:hAnsi="Arial"/>
                <w:sz w:val="9"/>
                <w:szCs w:val="9"/>
                <w:b w:val="1"/>
                <w:bCs w:val="1"/>
                <w:color w:val="1A475F"/>
              </w:rPr>
              <w:t>(2)</w:t>
            </w: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1A475F"/>
                <w:w w:val="99"/>
              </w:rPr>
              <w:t>Date</w:t>
            </w:r>
          </w:p>
        </w:tc>
        <w:tc>
          <w:tcPr>
            <w:tcW w:w="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1A475F"/>
              </w:rPr>
              <w:t>Date</w:t>
            </w:r>
            <w:r>
              <w:rPr>
                <w:rFonts w:ascii="Arial" w:cs="Arial" w:eastAsia="Arial" w:hAnsi="Arial"/>
                <w:sz w:val="9"/>
                <w:szCs w:val="9"/>
                <w:b w:val="1"/>
                <w:bCs w:val="1"/>
                <w:color w:val="1A475F"/>
              </w:rPr>
              <w:t>(3)</w:t>
            </w:r>
          </w:p>
        </w:tc>
        <w:tc>
          <w:tcPr>
            <w:tcW w:w="12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1A475F"/>
              </w:rPr>
              <w:t>Vested (#)</w:t>
            </w:r>
            <w:r>
              <w:rPr>
                <w:rFonts w:ascii="Arial" w:cs="Arial" w:eastAsia="Arial" w:hAnsi="Arial"/>
                <w:sz w:val="9"/>
                <w:szCs w:val="9"/>
                <w:b w:val="1"/>
                <w:bCs w:val="1"/>
                <w:color w:val="1A475F"/>
              </w:rPr>
              <w:t>(4)</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1A475F"/>
              </w:rPr>
              <w:t>Vested ($)</w:t>
            </w:r>
            <w:r>
              <w:rPr>
                <w:rFonts w:ascii="Arial" w:cs="Arial" w:eastAsia="Arial" w:hAnsi="Arial"/>
                <w:sz w:val="9"/>
                <w:szCs w:val="9"/>
                <w:b w:val="1"/>
                <w:bCs w:val="1"/>
                <w:color w:val="1A475F"/>
              </w:rPr>
              <w:t>(5)</w:t>
            </w: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1A475F"/>
              </w:rPr>
              <w:t>Vested(#)</w:t>
            </w:r>
            <w:r>
              <w:rPr>
                <w:rFonts w:ascii="Arial" w:cs="Arial" w:eastAsia="Arial" w:hAnsi="Arial"/>
                <w:sz w:val="9"/>
                <w:szCs w:val="9"/>
                <w:b w:val="1"/>
                <w:bCs w:val="1"/>
                <w:color w:val="1A475F"/>
              </w:rPr>
              <w:t>(6)</w:t>
            </w: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1A475F"/>
              </w:rPr>
              <w:t>Vested($)</w:t>
            </w:r>
            <w:r>
              <w:rPr>
                <w:rFonts w:ascii="Arial" w:cs="Arial" w:eastAsia="Arial" w:hAnsi="Arial"/>
                <w:sz w:val="9"/>
                <w:szCs w:val="9"/>
                <w:b w:val="1"/>
                <w:bCs w:val="1"/>
                <w:color w:val="1A475F"/>
              </w:rPr>
              <w:t>(6)</w:t>
            </w:r>
          </w:p>
        </w:tc>
        <w:tc>
          <w:tcPr>
            <w:tcW w:w="0" w:type="dxa"/>
            <w:vAlign w:val="bottom"/>
          </w:tcPr>
          <w:p>
            <w:pPr>
              <w:spacing w:after="0"/>
              <w:rPr>
                <w:sz w:val="1"/>
                <w:szCs w:val="1"/>
                <w:color w:val="auto"/>
              </w:rPr>
            </w:pPr>
          </w:p>
        </w:tc>
      </w:tr>
      <w:tr>
        <w:trPr>
          <w:trHeight w:val="116"/>
        </w:trPr>
        <w:tc>
          <w:tcPr>
            <w:tcW w:w="640" w:type="dxa"/>
            <w:vAlign w:val="bottom"/>
            <w:tcBorders>
              <w:top w:val="single" w:sz="8" w:color="auto"/>
            </w:tcBorders>
            <w:shd w:val="clear" w:color="auto" w:fill="CCEEFF"/>
          </w:tcPr>
          <w:p>
            <w:pPr>
              <w:spacing w:after="0" w:line="116" w:lineRule="exact"/>
              <w:rPr>
                <w:sz w:val="20"/>
                <w:szCs w:val="20"/>
                <w:color w:val="auto"/>
              </w:rPr>
            </w:pPr>
            <w:r>
              <w:rPr>
                <w:rFonts w:ascii="Arial" w:cs="Arial" w:eastAsia="Arial" w:hAnsi="Arial"/>
                <w:sz w:val="13"/>
                <w:szCs w:val="13"/>
                <w:color w:val="1A475F"/>
              </w:rPr>
              <w:t>Stephen</w:t>
            </w:r>
          </w:p>
        </w:tc>
        <w:tc>
          <w:tcPr>
            <w:tcW w:w="4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line="139" w:lineRule="exact"/>
              <w:rPr>
                <w:sz w:val="20"/>
                <w:szCs w:val="20"/>
                <w:color w:val="auto"/>
              </w:rPr>
            </w:pPr>
            <w:r>
              <w:rPr>
                <w:rFonts w:ascii="Arial" w:cs="Arial" w:eastAsia="Arial" w:hAnsi="Arial"/>
                <w:sz w:val="13"/>
                <w:szCs w:val="13"/>
                <w:color w:val="1A475F"/>
              </w:rPr>
              <w:t>H. Kramer</w:t>
            </w:r>
          </w:p>
        </w:tc>
        <w:tc>
          <w:tcPr>
            <w:tcW w:w="1240" w:type="dxa"/>
            <w:vAlign w:val="bottom"/>
            <w:gridSpan w:val="2"/>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15,250</w:t>
            </w:r>
          </w:p>
        </w:tc>
        <w:tc>
          <w:tcPr>
            <w:tcW w:w="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660"/>
              <w:spacing w:after="0" w:line="139" w:lineRule="exact"/>
              <w:rPr>
                <w:sz w:val="20"/>
                <w:szCs w:val="20"/>
                <w:color w:val="auto"/>
              </w:rPr>
            </w:pPr>
            <w:r>
              <w:rPr>
                <w:rFonts w:ascii="Arial" w:cs="Arial" w:eastAsia="Arial" w:hAnsi="Arial"/>
                <w:sz w:val="13"/>
                <w:szCs w:val="13"/>
                <w:color w:val="1A475F"/>
              </w:rPr>
              <w:t xml:space="preserve">—   </w:t>
            </w: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122.44</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2/25/2019</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2/25/2026</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74"/>
              <w:spacing w:after="0" w:line="139" w:lineRule="exact"/>
              <w:rPr>
                <w:sz w:val="20"/>
                <w:szCs w:val="20"/>
                <w:color w:val="auto"/>
              </w:rPr>
            </w:pPr>
            <w:r>
              <w:rPr>
                <w:rFonts w:ascii="Arial" w:cs="Arial" w:eastAsia="Arial" w:hAnsi="Arial"/>
                <w:sz w:val="13"/>
                <w:szCs w:val="13"/>
                <w:color w:val="1A475F"/>
              </w:rPr>
              <w:t>22,439</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4"/>
              <w:spacing w:after="0" w:line="139" w:lineRule="exact"/>
              <w:rPr>
                <w:sz w:val="20"/>
                <w:szCs w:val="20"/>
                <w:color w:val="auto"/>
              </w:rPr>
            </w:pPr>
            <w:r>
              <w:rPr>
                <w:rFonts w:ascii="Arial" w:cs="Arial" w:eastAsia="Arial" w:hAnsi="Arial"/>
                <w:sz w:val="13"/>
                <w:szCs w:val="13"/>
                <w:color w:val="1A475F"/>
              </w:rPr>
              <w:t>2,275,315</w:t>
            </w:r>
          </w:p>
        </w:tc>
        <w:tc>
          <w:tcPr>
            <w:tcW w:w="7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11,219</w:t>
            </w: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1,137,607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14,250</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9,500</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128.81</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2/25/2022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2/25/2029</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74"/>
              <w:spacing w:after="0" w:line="139" w:lineRule="exact"/>
              <w:rPr>
                <w:sz w:val="20"/>
                <w:szCs w:val="20"/>
                <w:color w:val="auto"/>
              </w:rPr>
            </w:pPr>
            <w:r>
              <w:rPr>
                <w:rFonts w:ascii="Arial" w:cs="Arial" w:eastAsia="Arial" w:hAnsi="Arial"/>
                <w:sz w:val="13"/>
                <w:szCs w:val="13"/>
                <w:color w:val="1A475F"/>
              </w:rPr>
              <w:t>15,132</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4"/>
              <w:spacing w:after="0" w:line="139" w:lineRule="exact"/>
              <w:rPr>
                <w:sz w:val="20"/>
                <w:szCs w:val="20"/>
                <w:color w:val="auto"/>
              </w:rPr>
            </w:pPr>
            <w:r>
              <w:rPr>
                <w:rFonts w:ascii="Arial" w:cs="Arial" w:eastAsia="Arial" w:hAnsi="Arial"/>
                <w:sz w:val="13"/>
                <w:szCs w:val="13"/>
                <w:color w:val="1A475F"/>
              </w:rPr>
              <w:t>1,534,385</w:t>
            </w:r>
          </w:p>
        </w:tc>
        <w:tc>
          <w:tcPr>
            <w:tcW w:w="7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7,566</w:t>
            </w: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767,192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17,274</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8,900</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rPr>
              <w:t>77.99</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2/24/2023</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2/24/2033</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74"/>
              <w:spacing w:after="0" w:line="139" w:lineRule="exact"/>
              <w:rPr>
                <w:sz w:val="20"/>
                <w:szCs w:val="20"/>
                <w:color w:val="auto"/>
              </w:rPr>
            </w:pPr>
            <w:r>
              <w:rPr>
                <w:rFonts w:ascii="Arial" w:cs="Arial" w:eastAsia="Arial" w:hAnsi="Arial"/>
                <w:sz w:val="13"/>
                <w:szCs w:val="13"/>
                <w:color w:val="1A475F"/>
              </w:rPr>
              <w:t>13,440</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4"/>
              <w:spacing w:after="0" w:line="139" w:lineRule="exact"/>
              <w:rPr>
                <w:sz w:val="20"/>
                <w:szCs w:val="20"/>
                <w:color w:val="auto"/>
              </w:rPr>
            </w:pPr>
            <w:r>
              <w:rPr>
                <w:rFonts w:ascii="Arial" w:cs="Arial" w:eastAsia="Arial" w:hAnsi="Arial"/>
                <w:sz w:val="13"/>
                <w:szCs w:val="13"/>
                <w:color w:val="1A475F"/>
              </w:rPr>
              <w:t>1,362,816</w:t>
            </w:r>
          </w:p>
        </w:tc>
        <w:tc>
          <w:tcPr>
            <w:tcW w:w="7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6,720</w:t>
            </w: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681,408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5,624</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11,419</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115.65</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3/4/2024</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3/4/2034</w:t>
            </w:r>
          </w:p>
        </w:tc>
        <w:tc>
          <w:tcPr>
            <w:tcW w:w="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3"/>
                <w:szCs w:val="13"/>
                <w:color w:val="1A475F"/>
              </w:rPr>
              <w:t xml:space="preserve">—   </w:t>
            </w:r>
          </w:p>
        </w:tc>
        <w:tc>
          <w:tcPr>
            <w:tcW w:w="14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 xml:space="preserve">—   </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1A475F"/>
              </w:rPr>
              <w:t xml:space="preserve">—   </w:t>
            </w:r>
          </w:p>
        </w:tc>
        <w:tc>
          <w:tcPr>
            <w:tcW w:w="1360" w:type="dxa"/>
            <w:vAlign w:val="bottom"/>
            <w:gridSpan w:val="2"/>
            <w:shd w:val="clear" w:color="auto" w:fill="CCEEFF"/>
          </w:tcPr>
          <w:p>
            <w:pPr>
              <w:jc w:val="right"/>
              <w:ind w:right="374"/>
              <w:spacing w:after="0"/>
              <w:rPr>
                <w:sz w:val="20"/>
                <w:szCs w:val="20"/>
                <w:color w:val="auto"/>
              </w:rPr>
            </w:pPr>
            <w:r>
              <w:rPr>
                <w:rFonts w:ascii="Arial" w:cs="Arial" w:eastAsia="Arial" w:hAnsi="Arial"/>
                <w:sz w:val="13"/>
                <w:szCs w:val="13"/>
                <w:color w:val="1A475F"/>
              </w:rPr>
              <w:t>14,863</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1A475F"/>
                <w:w w:val="95"/>
              </w:rPr>
              <w:t>130.21</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3/5/2025</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3/5/2035</w:t>
            </w:r>
          </w:p>
        </w:tc>
        <w:tc>
          <w:tcPr>
            <w:tcW w:w="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1A475F"/>
              </w:rPr>
              <w:t xml:space="preserve">—   </w:t>
            </w:r>
          </w:p>
        </w:tc>
        <w:tc>
          <w:tcPr>
            <w:tcW w:w="14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1A475F"/>
              </w:rPr>
              <w:t xml:space="preserve">—   </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 xml:space="preserve">—   </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 xml:space="preserve">— 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20"/>
                <w:szCs w:val="20"/>
                <w:color w:val="auto"/>
              </w:rPr>
            </w:pPr>
            <w:r>
              <w:rPr>
                <w:rFonts w:ascii="Arial" w:cs="Arial" w:eastAsia="Arial" w:hAnsi="Arial"/>
                <w:sz w:val="13"/>
                <w:szCs w:val="13"/>
                <w:color w:val="1A475F"/>
              </w:rPr>
              <w:t>Elizabeth</w:t>
            </w: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line="139" w:lineRule="exact"/>
              <w:rPr>
                <w:sz w:val="20"/>
                <w:szCs w:val="20"/>
                <w:color w:val="auto"/>
              </w:rPr>
            </w:pPr>
            <w:r>
              <w:rPr>
                <w:rFonts w:ascii="Arial" w:cs="Arial" w:eastAsia="Arial" w:hAnsi="Arial"/>
                <w:sz w:val="13"/>
                <w:szCs w:val="13"/>
                <w:color w:val="1A475F"/>
              </w:rPr>
              <w:t>J. Boland</w:t>
            </w:r>
          </w:p>
        </w:tc>
        <w:tc>
          <w:tcPr>
            <w:tcW w:w="1240" w:type="dxa"/>
            <w:vAlign w:val="bottom"/>
            <w:gridSpan w:val="2"/>
          </w:tcPr>
          <w:p>
            <w:pPr>
              <w:jc w:val="right"/>
              <w:ind w:right="314"/>
              <w:spacing w:after="0" w:line="139" w:lineRule="exact"/>
              <w:rPr>
                <w:sz w:val="20"/>
                <w:szCs w:val="20"/>
                <w:color w:val="auto"/>
              </w:rPr>
            </w:pPr>
            <w:r>
              <w:rPr>
                <w:rFonts w:ascii="Arial" w:cs="Arial" w:eastAsia="Arial" w:hAnsi="Arial"/>
                <w:sz w:val="13"/>
                <w:szCs w:val="13"/>
                <w:color w:val="1A475F"/>
              </w:rPr>
              <w:t>6,510</w:t>
            </w:r>
          </w:p>
        </w:tc>
        <w:tc>
          <w:tcPr>
            <w:tcW w:w="40" w:type="dxa"/>
            <w:vAlign w:val="bottom"/>
          </w:tcPr>
          <w:p>
            <w:pPr>
              <w:spacing w:after="0"/>
              <w:rPr>
                <w:sz w:val="12"/>
                <w:szCs w:val="12"/>
                <w:color w:val="auto"/>
              </w:rPr>
            </w:pPr>
          </w:p>
        </w:tc>
        <w:tc>
          <w:tcPr>
            <w:tcW w:w="1360" w:type="dxa"/>
            <w:vAlign w:val="bottom"/>
            <w:gridSpan w:val="2"/>
          </w:tcPr>
          <w:p>
            <w:pPr>
              <w:ind w:left="660"/>
              <w:spacing w:after="0" w:line="139" w:lineRule="exact"/>
              <w:rPr>
                <w:sz w:val="20"/>
                <w:szCs w:val="20"/>
                <w:color w:val="auto"/>
              </w:rPr>
            </w:pPr>
            <w:r>
              <w:rPr>
                <w:rFonts w:ascii="Arial" w:cs="Arial" w:eastAsia="Arial" w:hAnsi="Arial"/>
                <w:sz w:val="13"/>
                <w:szCs w:val="13"/>
                <w:color w:val="1A475F"/>
              </w:rPr>
              <w:t xml:space="preserve">—   </w:t>
            </w: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tcPr>
          <w:p>
            <w:pPr>
              <w:jc w:val="right"/>
              <w:ind w:right="194"/>
              <w:spacing w:after="0" w:line="139" w:lineRule="exact"/>
              <w:rPr>
                <w:sz w:val="20"/>
                <w:szCs w:val="20"/>
                <w:color w:val="auto"/>
              </w:rPr>
            </w:pPr>
            <w:r>
              <w:rPr>
                <w:rFonts w:ascii="Arial" w:cs="Arial" w:eastAsia="Arial" w:hAnsi="Arial"/>
                <w:sz w:val="13"/>
                <w:szCs w:val="13"/>
                <w:color w:val="1A475F"/>
                <w:w w:val="95"/>
              </w:rPr>
              <w:t>122.44</w:t>
            </w:r>
          </w:p>
        </w:tc>
        <w:tc>
          <w:tcPr>
            <w:tcW w:w="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2/25/2019</w:t>
            </w: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2/25/2026</w:t>
            </w:r>
          </w:p>
        </w:tc>
        <w:tc>
          <w:tcPr>
            <w:tcW w:w="40" w:type="dxa"/>
            <w:vAlign w:val="bottom"/>
          </w:tcPr>
          <w:p>
            <w:pPr>
              <w:spacing w:after="0"/>
              <w:rPr>
                <w:sz w:val="12"/>
                <w:szCs w:val="12"/>
                <w:color w:val="auto"/>
              </w:rPr>
            </w:pPr>
          </w:p>
        </w:tc>
        <w:tc>
          <w:tcPr>
            <w:tcW w:w="1140" w:type="dxa"/>
            <w:vAlign w:val="bottom"/>
          </w:tcPr>
          <w:p>
            <w:pPr>
              <w:jc w:val="right"/>
              <w:ind w:right="274"/>
              <w:spacing w:after="0" w:line="139" w:lineRule="exact"/>
              <w:rPr>
                <w:sz w:val="20"/>
                <w:szCs w:val="20"/>
                <w:color w:val="auto"/>
              </w:rPr>
            </w:pPr>
            <w:r>
              <w:rPr>
                <w:rFonts w:ascii="Arial" w:cs="Arial" w:eastAsia="Arial" w:hAnsi="Arial"/>
                <w:sz w:val="13"/>
                <w:szCs w:val="13"/>
                <w:color w:val="1A475F"/>
              </w:rPr>
              <w:t>7,052</w:t>
            </w:r>
          </w:p>
        </w:tc>
        <w:tc>
          <w:tcPr>
            <w:tcW w:w="60" w:type="dxa"/>
            <w:vAlign w:val="bottom"/>
          </w:tcPr>
          <w:p>
            <w:pPr>
              <w:spacing w:after="0"/>
              <w:rPr>
                <w:sz w:val="12"/>
                <w:szCs w:val="12"/>
                <w:color w:val="auto"/>
              </w:rPr>
            </w:pPr>
          </w:p>
        </w:tc>
        <w:tc>
          <w:tcPr>
            <w:tcW w:w="1400" w:type="dxa"/>
            <w:vAlign w:val="bottom"/>
          </w:tcPr>
          <w:p>
            <w:pPr>
              <w:jc w:val="right"/>
              <w:ind w:right="334"/>
              <w:spacing w:after="0" w:line="139" w:lineRule="exact"/>
              <w:rPr>
                <w:sz w:val="20"/>
                <w:szCs w:val="20"/>
                <w:color w:val="auto"/>
              </w:rPr>
            </w:pPr>
            <w:r>
              <w:rPr>
                <w:rFonts w:ascii="Arial" w:cs="Arial" w:eastAsia="Arial" w:hAnsi="Arial"/>
                <w:sz w:val="13"/>
                <w:szCs w:val="13"/>
                <w:color w:val="1A475F"/>
              </w:rPr>
              <w:t>715,073</w:t>
            </w:r>
          </w:p>
        </w:tc>
        <w:tc>
          <w:tcPr>
            <w:tcW w:w="740" w:type="dxa"/>
            <w:vAlign w:val="bottom"/>
            <w:gridSpan w:val="2"/>
          </w:tcPr>
          <w:p>
            <w:pPr>
              <w:jc w:val="right"/>
              <w:spacing w:after="0" w:line="139" w:lineRule="exact"/>
              <w:rPr>
                <w:sz w:val="20"/>
                <w:szCs w:val="20"/>
                <w:color w:val="auto"/>
              </w:rPr>
            </w:pPr>
            <w:r>
              <w:rPr>
                <w:rFonts w:ascii="Arial" w:cs="Arial" w:eastAsia="Arial" w:hAnsi="Arial"/>
                <w:sz w:val="13"/>
                <w:szCs w:val="13"/>
                <w:color w:val="1A475F"/>
              </w:rPr>
              <w:t>3,526</w:t>
            </w:r>
          </w:p>
        </w:tc>
        <w:tc>
          <w:tcPr>
            <w:tcW w:w="760" w:type="dxa"/>
            <w:vAlign w:val="bottom"/>
            <w:gridSpan w:val="2"/>
          </w:tcPr>
          <w:p>
            <w:pPr>
              <w:jc w:val="right"/>
              <w:spacing w:after="0" w:line="139" w:lineRule="exact"/>
              <w:rPr>
                <w:sz w:val="20"/>
                <w:szCs w:val="20"/>
                <w:color w:val="auto"/>
              </w:rPr>
            </w:pPr>
            <w:r>
              <w:rPr>
                <w:rFonts w:ascii="Arial" w:cs="Arial" w:eastAsia="Arial" w:hAnsi="Arial"/>
                <w:sz w:val="13"/>
                <w:szCs w:val="13"/>
                <w:color w:val="1A475F"/>
              </w:rPr>
              <w:t>357,536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240" w:type="dxa"/>
            <w:vAlign w:val="bottom"/>
            <w:gridSpan w:val="2"/>
          </w:tcPr>
          <w:p>
            <w:pPr>
              <w:jc w:val="right"/>
              <w:ind w:right="314"/>
              <w:spacing w:after="0" w:line="139" w:lineRule="exact"/>
              <w:rPr>
                <w:sz w:val="20"/>
                <w:szCs w:val="20"/>
                <w:color w:val="auto"/>
              </w:rPr>
            </w:pPr>
            <w:r>
              <w:rPr>
                <w:rFonts w:ascii="Arial" w:cs="Arial" w:eastAsia="Arial" w:hAnsi="Arial"/>
                <w:sz w:val="13"/>
                <w:szCs w:val="13"/>
                <w:color w:val="1A475F"/>
              </w:rPr>
              <w:t>2,712</w:t>
            </w:r>
          </w:p>
        </w:tc>
        <w:tc>
          <w:tcPr>
            <w:tcW w:w="1360" w:type="dxa"/>
            <w:vAlign w:val="bottom"/>
            <w:gridSpan w:val="2"/>
          </w:tcPr>
          <w:p>
            <w:pPr>
              <w:jc w:val="right"/>
              <w:ind w:right="374"/>
              <w:spacing w:after="0" w:line="139" w:lineRule="exact"/>
              <w:rPr>
                <w:sz w:val="20"/>
                <w:szCs w:val="20"/>
                <w:color w:val="auto"/>
              </w:rPr>
            </w:pPr>
            <w:r>
              <w:rPr>
                <w:rFonts w:ascii="Arial" w:cs="Arial" w:eastAsia="Arial" w:hAnsi="Arial"/>
                <w:sz w:val="13"/>
                <w:szCs w:val="13"/>
                <w:color w:val="1A475F"/>
              </w:rPr>
              <w:t>678</w:t>
            </w:r>
          </w:p>
        </w:tc>
        <w:tc>
          <w:tcPr>
            <w:tcW w:w="4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tcPr>
          <w:p>
            <w:pPr>
              <w:jc w:val="right"/>
              <w:ind w:right="194"/>
              <w:spacing w:after="0" w:line="139" w:lineRule="exact"/>
              <w:rPr>
                <w:sz w:val="20"/>
                <w:szCs w:val="20"/>
                <w:color w:val="auto"/>
              </w:rPr>
            </w:pPr>
            <w:r>
              <w:rPr>
                <w:rFonts w:ascii="Arial" w:cs="Arial" w:eastAsia="Arial" w:hAnsi="Arial"/>
                <w:sz w:val="13"/>
                <w:szCs w:val="13"/>
                <w:color w:val="1A475F"/>
                <w:w w:val="95"/>
              </w:rPr>
              <w:t>159.66</w:t>
            </w:r>
          </w:p>
        </w:tc>
        <w:tc>
          <w:tcPr>
            <w:tcW w:w="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2/26/2021</w:t>
            </w: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2/26/2028</w:t>
            </w:r>
          </w:p>
        </w:tc>
        <w:tc>
          <w:tcPr>
            <w:tcW w:w="40" w:type="dxa"/>
            <w:vAlign w:val="bottom"/>
          </w:tcPr>
          <w:p>
            <w:pPr>
              <w:spacing w:after="0"/>
              <w:rPr>
                <w:sz w:val="12"/>
                <w:szCs w:val="12"/>
                <w:color w:val="auto"/>
              </w:rPr>
            </w:pPr>
          </w:p>
        </w:tc>
        <w:tc>
          <w:tcPr>
            <w:tcW w:w="1140" w:type="dxa"/>
            <w:vAlign w:val="bottom"/>
          </w:tcPr>
          <w:p>
            <w:pPr>
              <w:jc w:val="right"/>
              <w:ind w:right="274"/>
              <w:spacing w:after="0" w:line="139" w:lineRule="exact"/>
              <w:rPr>
                <w:sz w:val="20"/>
                <w:szCs w:val="20"/>
                <w:color w:val="auto"/>
              </w:rPr>
            </w:pPr>
            <w:r>
              <w:rPr>
                <w:rFonts w:ascii="Arial" w:cs="Arial" w:eastAsia="Arial" w:hAnsi="Arial"/>
                <w:sz w:val="13"/>
                <w:szCs w:val="13"/>
                <w:color w:val="1A475F"/>
              </w:rPr>
              <w:t>4,756</w:t>
            </w:r>
          </w:p>
        </w:tc>
        <w:tc>
          <w:tcPr>
            <w:tcW w:w="60" w:type="dxa"/>
            <w:vAlign w:val="bottom"/>
          </w:tcPr>
          <w:p>
            <w:pPr>
              <w:spacing w:after="0"/>
              <w:rPr>
                <w:sz w:val="12"/>
                <w:szCs w:val="12"/>
                <w:color w:val="auto"/>
              </w:rPr>
            </w:pPr>
          </w:p>
        </w:tc>
        <w:tc>
          <w:tcPr>
            <w:tcW w:w="1400" w:type="dxa"/>
            <w:vAlign w:val="bottom"/>
          </w:tcPr>
          <w:p>
            <w:pPr>
              <w:jc w:val="right"/>
              <w:ind w:right="334"/>
              <w:spacing w:after="0" w:line="139" w:lineRule="exact"/>
              <w:rPr>
                <w:sz w:val="20"/>
                <w:szCs w:val="20"/>
                <w:color w:val="auto"/>
              </w:rPr>
            </w:pPr>
            <w:r>
              <w:rPr>
                <w:rFonts w:ascii="Arial" w:cs="Arial" w:eastAsia="Arial" w:hAnsi="Arial"/>
                <w:sz w:val="13"/>
                <w:szCs w:val="13"/>
                <w:color w:val="1A475F"/>
              </w:rPr>
              <w:t>482,258</w:t>
            </w:r>
          </w:p>
        </w:tc>
        <w:tc>
          <w:tcPr>
            <w:tcW w:w="740" w:type="dxa"/>
            <w:vAlign w:val="bottom"/>
            <w:gridSpan w:val="2"/>
          </w:tcPr>
          <w:p>
            <w:pPr>
              <w:jc w:val="right"/>
              <w:spacing w:after="0" w:line="139" w:lineRule="exact"/>
              <w:rPr>
                <w:sz w:val="20"/>
                <w:szCs w:val="20"/>
                <w:color w:val="auto"/>
              </w:rPr>
            </w:pPr>
            <w:r>
              <w:rPr>
                <w:rFonts w:ascii="Arial" w:cs="Arial" w:eastAsia="Arial" w:hAnsi="Arial"/>
                <w:sz w:val="13"/>
                <w:szCs w:val="13"/>
                <w:color w:val="1A475F"/>
              </w:rPr>
              <w:t>2,378</w:t>
            </w:r>
          </w:p>
        </w:tc>
        <w:tc>
          <w:tcPr>
            <w:tcW w:w="760" w:type="dxa"/>
            <w:vAlign w:val="bottom"/>
            <w:gridSpan w:val="2"/>
          </w:tcPr>
          <w:p>
            <w:pPr>
              <w:jc w:val="right"/>
              <w:spacing w:after="0" w:line="139" w:lineRule="exact"/>
              <w:rPr>
                <w:sz w:val="20"/>
                <w:szCs w:val="20"/>
                <w:color w:val="auto"/>
              </w:rPr>
            </w:pPr>
            <w:r>
              <w:rPr>
                <w:rFonts w:ascii="Arial" w:cs="Arial" w:eastAsia="Arial" w:hAnsi="Arial"/>
                <w:sz w:val="13"/>
                <w:szCs w:val="13"/>
                <w:color w:val="1A475F"/>
              </w:rPr>
              <w:t>241,129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240" w:type="dxa"/>
            <w:vAlign w:val="bottom"/>
            <w:gridSpan w:val="2"/>
          </w:tcPr>
          <w:p>
            <w:pPr>
              <w:jc w:val="right"/>
              <w:ind w:right="314"/>
              <w:spacing w:after="0" w:line="139" w:lineRule="exact"/>
              <w:rPr>
                <w:sz w:val="20"/>
                <w:szCs w:val="20"/>
                <w:color w:val="auto"/>
              </w:rPr>
            </w:pPr>
            <w:r>
              <w:rPr>
                <w:rFonts w:ascii="Arial" w:cs="Arial" w:eastAsia="Arial" w:hAnsi="Arial"/>
                <w:sz w:val="13"/>
                <w:szCs w:val="13"/>
                <w:color w:val="1A475F"/>
              </w:rPr>
              <w:t>6,264</w:t>
            </w:r>
          </w:p>
        </w:tc>
        <w:tc>
          <w:tcPr>
            <w:tcW w:w="1360" w:type="dxa"/>
            <w:vAlign w:val="bottom"/>
            <w:gridSpan w:val="2"/>
          </w:tcPr>
          <w:p>
            <w:pPr>
              <w:jc w:val="right"/>
              <w:ind w:right="374"/>
              <w:spacing w:after="0" w:line="139" w:lineRule="exact"/>
              <w:rPr>
                <w:sz w:val="20"/>
                <w:szCs w:val="20"/>
                <w:color w:val="auto"/>
              </w:rPr>
            </w:pPr>
            <w:r>
              <w:rPr>
                <w:rFonts w:ascii="Arial" w:cs="Arial" w:eastAsia="Arial" w:hAnsi="Arial"/>
                <w:sz w:val="13"/>
                <w:szCs w:val="13"/>
                <w:color w:val="1A475F"/>
              </w:rPr>
              <w:t>4,176</w:t>
            </w:r>
          </w:p>
        </w:tc>
        <w:tc>
          <w:tcPr>
            <w:tcW w:w="4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tcPr>
          <w:p>
            <w:pPr>
              <w:jc w:val="right"/>
              <w:ind w:right="194"/>
              <w:spacing w:after="0" w:line="139" w:lineRule="exact"/>
              <w:rPr>
                <w:sz w:val="20"/>
                <w:szCs w:val="20"/>
                <w:color w:val="auto"/>
              </w:rPr>
            </w:pPr>
            <w:r>
              <w:rPr>
                <w:rFonts w:ascii="Arial" w:cs="Arial" w:eastAsia="Arial" w:hAnsi="Arial"/>
                <w:sz w:val="13"/>
                <w:szCs w:val="13"/>
                <w:color w:val="1A475F"/>
                <w:w w:val="95"/>
              </w:rPr>
              <w:t>128.81</w:t>
            </w:r>
          </w:p>
        </w:tc>
        <w:tc>
          <w:tcPr>
            <w:tcW w:w="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2/25/2022</w:t>
            </w: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2/25/2029</w:t>
            </w:r>
          </w:p>
        </w:tc>
        <w:tc>
          <w:tcPr>
            <w:tcW w:w="40" w:type="dxa"/>
            <w:vAlign w:val="bottom"/>
          </w:tcPr>
          <w:p>
            <w:pPr>
              <w:spacing w:after="0"/>
              <w:rPr>
                <w:sz w:val="12"/>
                <w:szCs w:val="12"/>
                <w:color w:val="auto"/>
              </w:rPr>
            </w:pPr>
          </w:p>
        </w:tc>
        <w:tc>
          <w:tcPr>
            <w:tcW w:w="1140" w:type="dxa"/>
            <w:vAlign w:val="bottom"/>
          </w:tcPr>
          <w:p>
            <w:pPr>
              <w:jc w:val="right"/>
              <w:ind w:right="274"/>
              <w:spacing w:after="0" w:line="139" w:lineRule="exact"/>
              <w:rPr>
                <w:sz w:val="20"/>
                <w:szCs w:val="20"/>
                <w:color w:val="auto"/>
              </w:rPr>
            </w:pPr>
            <w:r>
              <w:rPr>
                <w:rFonts w:ascii="Arial" w:cs="Arial" w:eastAsia="Arial" w:hAnsi="Arial"/>
                <w:sz w:val="13"/>
                <w:szCs w:val="13"/>
                <w:color w:val="1A475F"/>
              </w:rPr>
              <w:t>4,224</w:t>
            </w:r>
          </w:p>
        </w:tc>
        <w:tc>
          <w:tcPr>
            <w:tcW w:w="60" w:type="dxa"/>
            <w:vAlign w:val="bottom"/>
          </w:tcPr>
          <w:p>
            <w:pPr>
              <w:spacing w:after="0"/>
              <w:rPr>
                <w:sz w:val="12"/>
                <w:szCs w:val="12"/>
                <w:color w:val="auto"/>
              </w:rPr>
            </w:pPr>
          </w:p>
        </w:tc>
        <w:tc>
          <w:tcPr>
            <w:tcW w:w="1400" w:type="dxa"/>
            <w:vAlign w:val="bottom"/>
          </w:tcPr>
          <w:p>
            <w:pPr>
              <w:jc w:val="right"/>
              <w:ind w:right="334"/>
              <w:spacing w:after="0" w:line="139" w:lineRule="exact"/>
              <w:rPr>
                <w:sz w:val="20"/>
                <w:szCs w:val="20"/>
                <w:color w:val="auto"/>
              </w:rPr>
            </w:pPr>
            <w:r>
              <w:rPr>
                <w:rFonts w:ascii="Arial" w:cs="Arial" w:eastAsia="Arial" w:hAnsi="Arial"/>
                <w:sz w:val="13"/>
                <w:szCs w:val="13"/>
                <w:color w:val="1A475F"/>
              </w:rPr>
              <w:t>428,314</w:t>
            </w:r>
          </w:p>
        </w:tc>
        <w:tc>
          <w:tcPr>
            <w:tcW w:w="740" w:type="dxa"/>
            <w:vAlign w:val="bottom"/>
            <w:gridSpan w:val="2"/>
          </w:tcPr>
          <w:p>
            <w:pPr>
              <w:jc w:val="right"/>
              <w:spacing w:after="0" w:line="139" w:lineRule="exact"/>
              <w:rPr>
                <w:sz w:val="20"/>
                <w:szCs w:val="20"/>
                <w:color w:val="auto"/>
              </w:rPr>
            </w:pPr>
            <w:r>
              <w:rPr>
                <w:rFonts w:ascii="Arial" w:cs="Arial" w:eastAsia="Arial" w:hAnsi="Arial"/>
                <w:sz w:val="13"/>
                <w:szCs w:val="13"/>
                <w:color w:val="1A475F"/>
              </w:rPr>
              <w:t>2,112</w:t>
            </w:r>
          </w:p>
        </w:tc>
        <w:tc>
          <w:tcPr>
            <w:tcW w:w="760" w:type="dxa"/>
            <w:vAlign w:val="bottom"/>
            <w:gridSpan w:val="2"/>
          </w:tcPr>
          <w:p>
            <w:pPr>
              <w:jc w:val="right"/>
              <w:spacing w:after="0" w:line="139" w:lineRule="exact"/>
              <w:rPr>
                <w:sz w:val="20"/>
                <w:szCs w:val="20"/>
                <w:color w:val="auto"/>
              </w:rPr>
            </w:pPr>
            <w:r>
              <w:rPr>
                <w:rFonts w:ascii="Arial" w:cs="Arial" w:eastAsia="Arial" w:hAnsi="Arial"/>
                <w:sz w:val="13"/>
                <w:szCs w:val="13"/>
                <w:color w:val="1A475F"/>
              </w:rPr>
              <w:t>214,157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240" w:type="dxa"/>
            <w:vAlign w:val="bottom"/>
            <w:gridSpan w:val="2"/>
          </w:tcPr>
          <w:p>
            <w:pPr>
              <w:jc w:val="right"/>
              <w:ind w:right="314"/>
              <w:spacing w:after="0" w:line="139" w:lineRule="exact"/>
              <w:rPr>
                <w:sz w:val="20"/>
                <w:szCs w:val="20"/>
                <w:color w:val="auto"/>
              </w:rPr>
            </w:pPr>
            <w:r>
              <w:rPr>
                <w:rFonts w:ascii="Arial" w:cs="Arial" w:eastAsia="Arial" w:hAnsi="Arial"/>
                <w:sz w:val="13"/>
                <w:szCs w:val="13"/>
                <w:color w:val="1A475F"/>
              </w:rPr>
              <w:t>2,714</w:t>
            </w:r>
          </w:p>
        </w:tc>
        <w:tc>
          <w:tcPr>
            <w:tcW w:w="1360" w:type="dxa"/>
            <w:vAlign w:val="bottom"/>
            <w:gridSpan w:val="2"/>
          </w:tcPr>
          <w:p>
            <w:pPr>
              <w:jc w:val="right"/>
              <w:ind w:right="374"/>
              <w:spacing w:after="0" w:line="139" w:lineRule="exact"/>
              <w:rPr>
                <w:sz w:val="20"/>
                <w:szCs w:val="20"/>
                <w:color w:val="auto"/>
              </w:rPr>
            </w:pPr>
            <w:r>
              <w:rPr>
                <w:rFonts w:ascii="Arial" w:cs="Arial" w:eastAsia="Arial" w:hAnsi="Arial"/>
                <w:sz w:val="13"/>
                <w:szCs w:val="13"/>
                <w:color w:val="1A475F"/>
              </w:rPr>
              <w:t>2,798</w:t>
            </w:r>
          </w:p>
        </w:tc>
        <w:tc>
          <w:tcPr>
            <w:tcW w:w="4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tcPr>
          <w:p>
            <w:pPr>
              <w:jc w:val="right"/>
              <w:ind w:right="194"/>
              <w:spacing w:after="0" w:line="139" w:lineRule="exact"/>
              <w:rPr>
                <w:sz w:val="20"/>
                <w:szCs w:val="20"/>
                <w:color w:val="auto"/>
              </w:rPr>
            </w:pPr>
            <w:r>
              <w:rPr>
                <w:rFonts w:ascii="Arial" w:cs="Arial" w:eastAsia="Arial" w:hAnsi="Arial"/>
                <w:sz w:val="13"/>
                <w:szCs w:val="13"/>
                <w:color w:val="1A475F"/>
              </w:rPr>
              <w:t>77.99</w:t>
            </w:r>
          </w:p>
        </w:tc>
        <w:tc>
          <w:tcPr>
            <w:tcW w:w="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2/24/2023</w:t>
            </w: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2/24/2033</w:t>
            </w:r>
          </w:p>
        </w:tc>
        <w:tc>
          <w:tcPr>
            <w:tcW w:w="40" w:type="dxa"/>
            <w:vAlign w:val="bottom"/>
          </w:tcPr>
          <w:p>
            <w:pPr>
              <w:spacing w:after="0"/>
              <w:rPr>
                <w:sz w:val="12"/>
                <w:szCs w:val="12"/>
                <w:color w:val="auto"/>
              </w:rPr>
            </w:pPr>
          </w:p>
        </w:tc>
        <w:tc>
          <w:tcPr>
            <w:tcW w:w="1200" w:type="dxa"/>
            <w:vAlign w:val="bottom"/>
            <w:gridSpan w:val="2"/>
          </w:tcPr>
          <w:p>
            <w:pPr>
              <w:ind w:left="580"/>
              <w:spacing w:after="0" w:line="139" w:lineRule="exact"/>
              <w:rPr>
                <w:sz w:val="20"/>
                <w:szCs w:val="20"/>
                <w:color w:val="auto"/>
              </w:rPr>
            </w:pPr>
            <w:r>
              <w:rPr>
                <w:rFonts w:ascii="Arial" w:cs="Arial" w:eastAsia="Arial" w:hAnsi="Arial"/>
                <w:sz w:val="13"/>
                <w:szCs w:val="13"/>
                <w:color w:val="1A475F"/>
              </w:rPr>
              <w:t xml:space="preserve">—   </w:t>
            </w:r>
          </w:p>
        </w:tc>
        <w:tc>
          <w:tcPr>
            <w:tcW w:w="1400" w:type="dxa"/>
            <w:vAlign w:val="bottom"/>
          </w:tcPr>
          <w:p>
            <w:pPr>
              <w:jc w:val="right"/>
              <w:ind w:right="314"/>
              <w:spacing w:after="0" w:line="139" w:lineRule="exact"/>
              <w:rPr>
                <w:sz w:val="20"/>
                <w:szCs w:val="20"/>
                <w:color w:val="auto"/>
              </w:rPr>
            </w:pPr>
            <w:r>
              <w:rPr>
                <w:rFonts w:ascii="Arial" w:cs="Arial" w:eastAsia="Arial" w:hAnsi="Arial"/>
                <w:sz w:val="13"/>
                <w:szCs w:val="13"/>
                <w:color w:val="1A475F"/>
              </w:rPr>
              <w:t xml:space="preserve">—   </w:t>
            </w:r>
          </w:p>
        </w:tc>
        <w:tc>
          <w:tcPr>
            <w:tcW w:w="4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1A475F"/>
              </w:rPr>
              <w:t xml:space="preserve">—   </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240" w:type="dxa"/>
            <w:vAlign w:val="bottom"/>
            <w:gridSpan w:val="2"/>
          </w:tcPr>
          <w:p>
            <w:pPr>
              <w:jc w:val="right"/>
              <w:ind w:right="314"/>
              <w:spacing w:after="0" w:line="139" w:lineRule="exact"/>
              <w:rPr>
                <w:sz w:val="20"/>
                <w:szCs w:val="20"/>
                <w:color w:val="auto"/>
              </w:rPr>
            </w:pPr>
            <w:r>
              <w:rPr>
                <w:rFonts w:ascii="Arial" w:cs="Arial" w:eastAsia="Arial" w:hAnsi="Arial"/>
                <w:sz w:val="13"/>
                <w:szCs w:val="13"/>
                <w:color w:val="1A475F"/>
              </w:rPr>
              <w:t>1,767</w:t>
            </w:r>
          </w:p>
        </w:tc>
        <w:tc>
          <w:tcPr>
            <w:tcW w:w="1360" w:type="dxa"/>
            <w:vAlign w:val="bottom"/>
            <w:gridSpan w:val="2"/>
          </w:tcPr>
          <w:p>
            <w:pPr>
              <w:jc w:val="right"/>
              <w:ind w:right="374"/>
              <w:spacing w:after="0" w:line="139" w:lineRule="exact"/>
              <w:rPr>
                <w:sz w:val="20"/>
                <w:szCs w:val="20"/>
                <w:color w:val="auto"/>
              </w:rPr>
            </w:pPr>
            <w:r>
              <w:rPr>
                <w:rFonts w:ascii="Arial" w:cs="Arial" w:eastAsia="Arial" w:hAnsi="Arial"/>
                <w:sz w:val="13"/>
                <w:szCs w:val="13"/>
                <w:color w:val="1A475F"/>
              </w:rPr>
              <w:t>3,589</w:t>
            </w:r>
          </w:p>
        </w:tc>
        <w:tc>
          <w:tcPr>
            <w:tcW w:w="4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tcPr>
          <w:p>
            <w:pPr>
              <w:jc w:val="right"/>
              <w:ind w:right="194"/>
              <w:spacing w:after="0" w:line="139" w:lineRule="exact"/>
              <w:rPr>
                <w:sz w:val="20"/>
                <w:szCs w:val="20"/>
                <w:color w:val="auto"/>
              </w:rPr>
            </w:pPr>
            <w:r>
              <w:rPr>
                <w:rFonts w:ascii="Arial" w:cs="Arial" w:eastAsia="Arial" w:hAnsi="Arial"/>
                <w:sz w:val="13"/>
                <w:szCs w:val="13"/>
                <w:color w:val="1A475F"/>
                <w:w w:val="95"/>
              </w:rPr>
              <w:t>115.65</w:t>
            </w:r>
          </w:p>
        </w:tc>
        <w:tc>
          <w:tcPr>
            <w:tcW w:w="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3/4/2024</w:t>
            </w: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3/4/2034</w:t>
            </w:r>
          </w:p>
        </w:tc>
        <w:tc>
          <w:tcPr>
            <w:tcW w:w="40" w:type="dxa"/>
            <w:vAlign w:val="bottom"/>
          </w:tcPr>
          <w:p>
            <w:pPr>
              <w:spacing w:after="0"/>
              <w:rPr>
                <w:sz w:val="12"/>
                <w:szCs w:val="12"/>
                <w:color w:val="auto"/>
              </w:rPr>
            </w:pPr>
          </w:p>
        </w:tc>
        <w:tc>
          <w:tcPr>
            <w:tcW w:w="1200" w:type="dxa"/>
            <w:vAlign w:val="bottom"/>
            <w:gridSpan w:val="2"/>
          </w:tcPr>
          <w:p>
            <w:pPr>
              <w:ind w:left="580"/>
              <w:spacing w:after="0" w:line="139" w:lineRule="exact"/>
              <w:rPr>
                <w:sz w:val="20"/>
                <w:szCs w:val="20"/>
                <w:color w:val="auto"/>
              </w:rPr>
            </w:pPr>
            <w:r>
              <w:rPr>
                <w:rFonts w:ascii="Arial" w:cs="Arial" w:eastAsia="Arial" w:hAnsi="Arial"/>
                <w:sz w:val="13"/>
                <w:szCs w:val="13"/>
                <w:color w:val="1A475F"/>
              </w:rPr>
              <w:t xml:space="preserve">—   </w:t>
            </w:r>
          </w:p>
        </w:tc>
        <w:tc>
          <w:tcPr>
            <w:tcW w:w="1400" w:type="dxa"/>
            <w:vAlign w:val="bottom"/>
          </w:tcPr>
          <w:p>
            <w:pPr>
              <w:jc w:val="right"/>
              <w:ind w:right="314"/>
              <w:spacing w:after="0" w:line="139" w:lineRule="exact"/>
              <w:rPr>
                <w:sz w:val="20"/>
                <w:szCs w:val="20"/>
                <w:color w:val="auto"/>
              </w:rPr>
            </w:pPr>
            <w:r>
              <w:rPr>
                <w:rFonts w:ascii="Arial" w:cs="Arial" w:eastAsia="Arial" w:hAnsi="Arial"/>
                <w:sz w:val="13"/>
                <w:szCs w:val="13"/>
                <w:color w:val="1A475F"/>
              </w:rPr>
              <w:t xml:space="preserve">—   </w:t>
            </w:r>
          </w:p>
        </w:tc>
        <w:tc>
          <w:tcPr>
            <w:tcW w:w="4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1A475F"/>
              </w:rPr>
              <w:t xml:space="preserve">—   </w:t>
            </w:r>
          </w:p>
        </w:tc>
        <w:tc>
          <w:tcPr>
            <w:tcW w:w="0" w:type="dxa"/>
            <w:vAlign w:val="bottom"/>
          </w:tcPr>
          <w:p>
            <w:pPr>
              <w:spacing w:after="0"/>
              <w:rPr>
                <w:sz w:val="1"/>
                <w:szCs w:val="1"/>
                <w:color w:val="auto"/>
              </w:rPr>
            </w:pPr>
          </w:p>
        </w:tc>
      </w:tr>
      <w:tr>
        <w:trPr>
          <w:trHeight w:val="154"/>
        </w:trPr>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jc w:val="right"/>
              <w:ind w:right="294"/>
              <w:spacing w:after="0"/>
              <w:rPr>
                <w:sz w:val="20"/>
                <w:szCs w:val="20"/>
                <w:color w:val="auto"/>
              </w:rPr>
            </w:pPr>
            <w:r>
              <w:rPr>
                <w:rFonts w:ascii="Arial" w:cs="Arial" w:eastAsia="Arial" w:hAnsi="Arial"/>
                <w:sz w:val="13"/>
                <w:szCs w:val="13"/>
                <w:color w:val="1A475F"/>
              </w:rPr>
              <w:t xml:space="preserve">—   </w:t>
            </w:r>
          </w:p>
        </w:tc>
        <w:tc>
          <w:tcPr>
            <w:tcW w:w="1360" w:type="dxa"/>
            <w:vAlign w:val="bottom"/>
            <w:gridSpan w:val="2"/>
          </w:tcPr>
          <w:p>
            <w:pPr>
              <w:jc w:val="right"/>
              <w:ind w:right="374"/>
              <w:spacing w:after="0"/>
              <w:rPr>
                <w:sz w:val="20"/>
                <w:szCs w:val="20"/>
                <w:color w:val="auto"/>
              </w:rPr>
            </w:pPr>
            <w:r>
              <w:rPr>
                <w:rFonts w:ascii="Arial" w:cs="Arial" w:eastAsia="Arial" w:hAnsi="Arial"/>
                <w:sz w:val="13"/>
                <w:szCs w:val="13"/>
                <w:color w:val="1A475F"/>
              </w:rPr>
              <w:t>4,671</w:t>
            </w:r>
          </w:p>
        </w:tc>
        <w:tc>
          <w:tcPr>
            <w:tcW w:w="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1A475F"/>
              </w:rPr>
              <w:t>$</w:t>
            </w:r>
          </w:p>
        </w:tc>
        <w:tc>
          <w:tcPr>
            <w:tcW w:w="660" w:type="dxa"/>
            <w:vAlign w:val="bottom"/>
          </w:tcPr>
          <w:p>
            <w:pPr>
              <w:jc w:val="right"/>
              <w:ind w:right="194"/>
              <w:spacing w:after="0"/>
              <w:rPr>
                <w:sz w:val="20"/>
                <w:szCs w:val="20"/>
                <w:color w:val="auto"/>
              </w:rPr>
            </w:pPr>
            <w:r>
              <w:rPr>
                <w:rFonts w:ascii="Arial" w:cs="Arial" w:eastAsia="Arial" w:hAnsi="Arial"/>
                <w:sz w:val="13"/>
                <w:szCs w:val="13"/>
                <w:color w:val="1A475F"/>
                <w:w w:val="95"/>
              </w:rPr>
              <w:t>130.21</w:t>
            </w:r>
          </w:p>
        </w:tc>
        <w:tc>
          <w:tcPr>
            <w:tcW w:w="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1A475F"/>
              </w:rPr>
              <w:t>3/5/2025</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1A475F"/>
              </w:rPr>
              <w:t>3/5/2035</w:t>
            </w:r>
          </w:p>
        </w:tc>
        <w:tc>
          <w:tcPr>
            <w:tcW w:w="40" w:type="dxa"/>
            <w:vAlign w:val="bottom"/>
          </w:tcPr>
          <w:p>
            <w:pPr>
              <w:spacing w:after="0"/>
              <w:rPr>
                <w:sz w:val="13"/>
                <w:szCs w:val="13"/>
                <w:color w:val="auto"/>
              </w:rPr>
            </w:pPr>
          </w:p>
        </w:tc>
        <w:tc>
          <w:tcPr>
            <w:tcW w:w="1200" w:type="dxa"/>
            <w:vAlign w:val="bottom"/>
            <w:gridSpan w:val="2"/>
          </w:tcPr>
          <w:p>
            <w:pPr>
              <w:ind w:left="580"/>
              <w:spacing w:after="0"/>
              <w:rPr>
                <w:sz w:val="20"/>
                <w:szCs w:val="20"/>
                <w:color w:val="auto"/>
              </w:rPr>
            </w:pPr>
            <w:r>
              <w:rPr>
                <w:rFonts w:ascii="Arial" w:cs="Arial" w:eastAsia="Arial" w:hAnsi="Arial"/>
                <w:sz w:val="13"/>
                <w:szCs w:val="13"/>
                <w:color w:val="1A475F"/>
              </w:rPr>
              <w:t xml:space="preserve">—   </w:t>
            </w:r>
          </w:p>
        </w:tc>
        <w:tc>
          <w:tcPr>
            <w:tcW w:w="1400" w:type="dxa"/>
            <w:vAlign w:val="bottom"/>
          </w:tcPr>
          <w:p>
            <w:pPr>
              <w:jc w:val="right"/>
              <w:ind w:right="314"/>
              <w:spacing w:after="0"/>
              <w:rPr>
                <w:sz w:val="20"/>
                <w:szCs w:val="20"/>
                <w:color w:val="auto"/>
              </w:rPr>
            </w:pPr>
            <w:r>
              <w:rPr>
                <w:rFonts w:ascii="Arial" w:cs="Arial" w:eastAsia="Arial" w:hAnsi="Arial"/>
                <w:sz w:val="13"/>
                <w:szCs w:val="13"/>
                <w:color w:val="1A475F"/>
              </w:rPr>
              <w:t xml:space="preserve">—   </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1A475F"/>
              </w:rPr>
              <w:t xml:space="preserve">—   </w:t>
            </w:r>
          </w:p>
        </w:tc>
        <w:tc>
          <w:tcPr>
            <w:tcW w:w="6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1A475F"/>
              </w:rPr>
              <w:t xml:space="preserve">—   </w:t>
            </w: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spacing w:after="0" w:line="124" w:lineRule="exact"/>
              <w:rPr>
                <w:sz w:val="20"/>
                <w:szCs w:val="20"/>
                <w:color w:val="auto"/>
              </w:rPr>
            </w:pPr>
            <w:r>
              <w:rPr>
                <w:rFonts w:ascii="Arial" w:cs="Arial" w:eastAsia="Arial" w:hAnsi="Arial"/>
                <w:sz w:val="13"/>
                <w:szCs w:val="13"/>
                <w:color w:val="1A475F"/>
              </w:rPr>
              <w:t>Mary Lou</w:t>
            </w:r>
          </w:p>
        </w:tc>
        <w:tc>
          <w:tcPr>
            <w:tcW w:w="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line="139" w:lineRule="exact"/>
              <w:rPr>
                <w:sz w:val="20"/>
                <w:szCs w:val="20"/>
                <w:color w:val="auto"/>
              </w:rPr>
            </w:pPr>
            <w:r>
              <w:rPr>
                <w:rFonts w:ascii="Arial" w:cs="Arial" w:eastAsia="Arial" w:hAnsi="Arial"/>
                <w:sz w:val="13"/>
                <w:szCs w:val="13"/>
                <w:color w:val="1A475F"/>
              </w:rPr>
              <w:t>Burke</w:t>
            </w: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line="139" w:lineRule="exact"/>
              <w:rPr>
                <w:sz w:val="20"/>
                <w:szCs w:val="20"/>
                <w:color w:val="auto"/>
              </w:rPr>
            </w:pPr>
            <w:r>
              <w:rPr>
                <w:rFonts w:ascii="Arial" w:cs="Arial" w:eastAsia="Arial" w:hAnsi="Arial"/>
                <w:sz w:val="13"/>
                <w:szCs w:val="13"/>
                <w:color w:val="1A475F"/>
              </w:rPr>
              <w:t>Afonso</w:t>
            </w:r>
          </w:p>
        </w:tc>
        <w:tc>
          <w:tcPr>
            <w:tcW w:w="1240" w:type="dxa"/>
            <w:vAlign w:val="bottom"/>
            <w:gridSpan w:val="2"/>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8,940</w:t>
            </w:r>
          </w:p>
        </w:tc>
        <w:tc>
          <w:tcPr>
            <w:tcW w:w="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660"/>
              <w:spacing w:after="0" w:line="139" w:lineRule="exact"/>
              <w:rPr>
                <w:sz w:val="20"/>
                <w:szCs w:val="20"/>
                <w:color w:val="auto"/>
              </w:rPr>
            </w:pPr>
            <w:r>
              <w:rPr>
                <w:rFonts w:ascii="Arial" w:cs="Arial" w:eastAsia="Arial" w:hAnsi="Arial"/>
                <w:sz w:val="13"/>
                <w:szCs w:val="13"/>
                <w:color w:val="1A475F"/>
              </w:rPr>
              <w:t xml:space="preserve">—   </w:t>
            </w: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122.44</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2/25/2019</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2/25/2026</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74"/>
              <w:spacing w:after="0" w:line="139" w:lineRule="exact"/>
              <w:rPr>
                <w:sz w:val="20"/>
                <w:szCs w:val="20"/>
                <w:color w:val="auto"/>
              </w:rPr>
            </w:pPr>
            <w:r>
              <w:rPr>
                <w:rFonts w:ascii="Arial" w:cs="Arial" w:eastAsia="Arial" w:hAnsi="Arial"/>
                <w:sz w:val="13"/>
                <w:szCs w:val="13"/>
                <w:color w:val="1A475F"/>
              </w:rPr>
              <w:t>7,052</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4"/>
              <w:spacing w:after="0" w:line="139" w:lineRule="exact"/>
              <w:rPr>
                <w:sz w:val="20"/>
                <w:szCs w:val="20"/>
                <w:color w:val="auto"/>
              </w:rPr>
            </w:pPr>
            <w:r>
              <w:rPr>
                <w:rFonts w:ascii="Arial" w:cs="Arial" w:eastAsia="Arial" w:hAnsi="Arial"/>
                <w:sz w:val="13"/>
                <w:szCs w:val="13"/>
                <w:color w:val="1A475F"/>
              </w:rPr>
              <w:t>715,073</w:t>
            </w:r>
          </w:p>
        </w:tc>
        <w:tc>
          <w:tcPr>
            <w:tcW w:w="7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3,526</w:t>
            </w: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357,536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5,720</w:t>
            </w:r>
          </w:p>
        </w:tc>
        <w:tc>
          <w:tcPr>
            <w:tcW w:w="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660"/>
              <w:spacing w:after="0" w:line="139" w:lineRule="exact"/>
              <w:rPr>
                <w:sz w:val="20"/>
                <w:szCs w:val="20"/>
                <w:color w:val="auto"/>
              </w:rPr>
            </w:pPr>
            <w:r>
              <w:rPr>
                <w:rFonts w:ascii="Arial" w:cs="Arial" w:eastAsia="Arial" w:hAnsi="Arial"/>
                <w:sz w:val="13"/>
                <w:szCs w:val="13"/>
                <w:color w:val="1A475F"/>
              </w:rPr>
              <w:t xml:space="preserve">—   </w:t>
            </w: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169.87</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2/24/2020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2/24/2027</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74"/>
              <w:spacing w:after="0" w:line="139" w:lineRule="exact"/>
              <w:rPr>
                <w:sz w:val="20"/>
                <w:szCs w:val="20"/>
                <w:color w:val="auto"/>
              </w:rPr>
            </w:pPr>
            <w:r>
              <w:rPr>
                <w:rFonts w:ascii="Arial" w:cs="Arial" w:eastAsia="Arial" w:hAnsi="Arial"/>
                <w:sz w:val="13"/>
                <w:szCs w:val="13"/>
                <w:color w:val="1A475F"/>
              </w:rPr>
              <w:t>4,756</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4"/>
              <w:spacing w:after="0" w:line="139" w:lineRule="exact"/>
              <w:rPr>
                <w:sz w:val="20"/>
                <w:szCs w:val="20"/>
                <w:color w:val="auto"/>
              </w:rPr>
            </w:pPr>
            <w:r>
              <w:rPr>
                <w:rFonts w:ascii="Arial" w:cs="Arial" w:eastAsia="Arial" w:hAnsi="Arial"/>
                <w:sz w:val="13"/>
                <w:szCs w:val="13"/>
                <w:color w:val="1A475F"/>
              </w:rPr>
              <w:t>482,258</w:t>
            </w:r>
          </w:p>
        </w:tc>
        <w:tc>
          <w:tcPr>
            <w:tcW w:w="7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2,378</w:t>
            </w: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241,129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11,312</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2,828</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159.66</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2/26/2021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2/26/2028</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74"/>
              <w:spacing w:after="0" w:line="139" w:lineRule="exact"/>
              <w:rPr>
                <w:sz w:val="20"/>
                <w:szCs w:val="20"/>
                <w:color w:val="auto"/>
              </w:rPr>
            </w:pPr>
            <w:r>
              <w:rPr>
                <w:rFonts w:ascii="Arial" w:cs="Arial" w:eastAsia="Arial" w:hAnsi="Arial"/>
                <w:sz w:val="13"/>
                <w:szCs w:val="13"/>
                <w:color w:val="1A475F"/>
              </w:rPr>
              <w:t>4,224</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4"/>
              <w:spacing w:after="0" w:line="139" w:lineRule="exact"/>
              <w:rPr>
                <w:sz w:val="20"/>
                <w:szCs w:val="20"/>
                <w:color w:val="auto"/>
              </w:rPr>
            </w:pPr>
            <w:r>
              <w:rPr>
                <w:rFonts w:ascii="Arial" w:cs="Arial" w:eastAsia="Arial" w:hAnsi="Arial"/>
                <w:sz w:val="13"/>
                <w:szCs w:val="13"/>
                <w:color w:val="1A475F"/>
              </w:rPr>
              <w:t>428,314</w:t>
            </w:r>
          </w:p>
        </w:tc>
        <w:tc>
          <w:tcPr>
            <w:tcW w:w="7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2,112</w:t>
            </w: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214,157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9,360</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6,240</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128.81</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2/25/2022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2/25/2029</w:t>
            </w:r>
          </w:p>
        </w:tc>
        <w:tc>
          <w:tcPr>
            <w:tcW w:w="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3"/>
                <w:szCs w:val="13"/>
                <w:color w:val="1A475F"/>
              </w:rPr>
              <w:t xml:space="preserve">—   </w:t>
            </w:r>
          </w:p>
        </w:tc>
        <w:tc>
          <w:tcPr>
            <w:tcW w:w="14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 xml:space="preserve">—   </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5,428</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2,798</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rPr>
              <w:t>77.99</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2/24/2023</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2/24/2033</w:t>
            </w:r>
          </w:p>
        </w:tc>
        <w:tc>
          <w:tcPr>
            <w:tcW w:w="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3"/>
                <w:szCs w:val="13"/>
                <w:color w:val="1A475F"/>
              </w:rPr>
              <w:t xml:space="preserve">—   </w:t>
            </w:r>
          </w:p>
        </w:tc>
        <w:tc>
          <w:tcPr>
            <w:tcW w:w="14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 xml:space="preserve">—   </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1,767</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3,589</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115.65</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3/4/2024</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3/4/2034</w:t>
            </w:r>
          </w:p>
        </w:tc>
        <w:tc>
          <w:tcPr>
            <w:tcW w:w="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3"/>
                <w:szCs w:val="13"/>
                <w:color w:val="1A475F"/>
              </w:rPr>
              <w:t xml:space="preserve">—   </w:t>
            </w:r>
          </w:p>
        </w:tc>
        <w:tc>
          <w:tcPr>
            <w:tcW w:w="14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 xml:space="preserve">—   </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1A475F"/>
              </w:rPr>
              <w:t xml:space="preserve">—   </w:t>
            </w:r>
          </w:p>
        </w:tc>
        <w:tc>
          <w:tcPr>
            <w:tcW w:w="1360" w:type="dxa"/>
            <w:vAlign w:val="bottom"/>
            <w:gridSpan w:val="2"/>
            <w:shd w:val="clear" w:color="auto" w:fill="CCEEFF"/>
          </w:tcPr>
          <w:p>
            <w:pPr>
              <w:jc w:val="right"/>
              <w:ind w:right="374"/>
              <w:spacing w:after="0"/>
              <w:rPr>
                <w:sz w:val="20"/>
                <w:szCs w:val="20"/>
                <w:color w:val="auto"/>
              </w:rPr>
            </w:pPr>
            <w:r>
              <w:rPr>
                <w:rFonts w:ascii="Arial" w:cs="Arial" w:eastAsia="Arial" w:hAnsi="Arial"/>
                <w:sz w:val="13"/>
                <w:szCs w:val="13"/>
                <w:color w:val="1A475F"/>
              </w:rPr>
              <w:t>4,671</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1A475F"/>
                <w:w w:val="95"/>
              </w:rPr>
              <w:t>130.21</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3/5/2025</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3/5/2035</w:t>
            </w:r>
          </w:p>
        </w:tc>
        <w:tc>
          <w:tcPr>
            <w:tcW w:w="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1A475F"/>
              </w:rPr>
              <w:t xml:space="preserve">—   </w:t>
            </w:r>
          </w:p>
        </w:tc>
        <w:tc>
          <w:tcPr>
            <w:tcW w:w="14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1A475F"/>
              </w:rPr>
              <w:t xml:space="preserve">—   </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 xml:space="preserve">—   </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 xml:space="preserve">— 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40" w:type="dxa"/>
            <w:vAlign w:val="bottom"/>
          </w:tcPr>
          <w:p>
            <w:pPr>
              <w:spacing w:after="0"/>
              <w:rPr>
                <w:sz w:val="20"/>
                <w:szCs w:val="20"/>
                <w:color w:val="auto"/>
              </w:rPr>
            </w:pPr>
            <w:r>
              <w:rPr>
                <w:rFonts w:ascii="Arial" w:cs="Arial" w:eastAsia="Arial" w:hAnsi="Arial"/>
                <w:sz w:val="13"/>
                <w:szCs w:val="13"/>
                <w:color w:val="1A475F"/>
              </w:rPr>
              <w:t>Mandy</w:t>
            </w: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line="139" w:lineRule="exact"/>
              <w:rPr>
                <w:sz w:val="20"/>
                <w:szCs w:val="20"/>
                <w:color w:val="auto"/>
              </w:rPr>
            </w:pPr>
            <w:r>
              <w:rPr>
                <w:rFonts w:ascii="Arial" w:cs="Arial" w:eastAsia="Arial" w:hAnsi="Arial"/>
                <w:sz w:val="13"/>
                <w:szCs w:val="13"/>
                <w:color w:val="1A475F"/>
              </w:rPr>
              <w:t>Berman</w:t>
            </w:r>
          </w:p>
        </w:tc>
        <w:tc>
          <w:tcPr>
            <w:tcW w:w="1240" w:type="dxa"/>
            <w:vAlign w:val="bottom"/>
            <w:gridSpan w:val="2"/>
          </w:tcPr>
          <w:p>
            <w:pPr>
              <w:jc w:val="right"/>
              <w:ind w:right="314"/>
              <w:spacing w:after="0" w:line="139" w:lineRule="exact"/>
              <w:rPr>
                <w:sz w:val="20"/>
                <w:szCs w:val="20"/>
                <w:color w:val="auto"/>
              </w:rPr>
            </w:pPr>
            <w:r>
              <w:rPr>
                <w:rFonts w:ascii="Arial" w:cs="Arial" w:eastAsia="Arial" w:hAnsi="Arial"/>
                <w:sz w:val="13"/>
                <w:szCs w:val="13"/>
                <w:color w:val="1A475F"/>
              </w:rPr>
              <w:t>5,428</w:t>
            </w:r>
          </w:p>
        </w:tc>
        <w:tc>
          <w:tcPr>
            <w:tcW w:w="1360" w:type="dxa"/>
            <w:vAlign w:val="bottom"/>
            <w:gridSpan w:val="2"/>
          </w:tcPr>
          <w:p>
            <w:pPr>
              <w:jc w:val="right"/>
              <w:ind w:right="374"/>
              <w:spacing w:after="0" w:line="139" w:lineRule="exact"/>
              <w:rPr>
                <w:sz w:val="20"/>
                <w:szCs w:val="20"/>
                <w:color w:val="auto"/>
              </w:rPr>
            </w:pPr>
            <w:r>
              <w:rPr>
                <w:rFonts w:ascii="Arial" w:cs="Arial" w:eastAsia="Arial" w:hAnsi="Arial"/>
                <w:sz w:val="13"/>
                <w:szCs w:val="13"/>
                <w:color w:val="1A475F"/>
              </w:rPr>
              <w:t>2,798</w:t>
            </w:r>
          </w:p>
        </w:tc>
        <w:tc>
          <w:tcPr>
            <w:tcW w:w="4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tcPr>
          <w:p>
            <w:pPr>
              <w:jc w:val="right"/>
              <w:ind w:right="194"/>
              <w:spacing w:after="0" w:line="139" w:lineRule="exact"/>
              <w:rPr>
                <w:sz w:val="20"/>
                <w:szCs w:val="20"/>
                <w:color w:val="auto"/>
              </w:rPr>
            </w:pPr>
            <w:r>
              <w:rPr>
                <w:rFonts w:ascii="Arial" w:cs="Arial" w:eastAsia="Arial" w:hAnsi="Arial"/>
                <w:sz w:val="13"/>
                <w:szCs w:val="13"/>
                <w:color w:val="1A475F"/>
              </w:rPr>
              <w:t>77.99</w:t>
            </w:r>
          </w:p>
        </w:tc>
        <w:tc>
          <w:tcPr>
            <w:tcW w:w="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2/24/2023</w:t>
            </w: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2/24/2033</w:t>
            </w:r>
          </w:p>
        </w:tc>
        <w:tc>
          <w:tcPr>
            <w:tcW w:w="40" w:type="dxa"/>
            <w:vAlign w:val="bottom"/>
          </w:tcPr>
          <w:p>
            <w:pPr>
              <w:spacing w:after="0"/>
              <w:rPr>
                <w:sz w:val="12"/>
                <w:szCs w:val="12"/>
                <w:color w:val="auto"/>
              </w:rPr>
            </w:pPr>
          </w:p>
        </w:tc>
        <w:tc>
          <w:tcPr>
            <w:tcW w:w="1140" w:type="dxa"/>
            <w:vAlign w:val="bottom"/>
          </w:tcPr>
          <w:p>
            <w:pPr>
              <w:jc w:val="right"/>
              <w:ind w:right="274"/>
              <w:spacing w:after="0" w:line="139" w:lineRule="exact"/>
              <w:rPr>
                <w:sz w:val="20"/>
                <w:szCs w:val="20"/>
                <w:color w:val="auto"/>
              </w:rPr>
            </w:pPr>
            <w:r>
              <w:rPr>
                <w:rFonts w:ascii="Arial" w:cs="Arial" w:eastAsia="Arial" w:hAnsi="Arial"/>
                <w:sz w:val="13"/>
                <w:szCs w:val="13"/>
                <w:color w:val="1A475F"/>
              </w:rPr>
              <w:t>7,052</w:t>
            </w:r>
          </w:p>
        </w:tc>
        <w:tc>
          <w:tcPr>
            <w:tcW w:w="60" w:type="dxa"/>
            <w:vAlign w:val="bottom"/>
          </w:tcPr>
          <w:p>
            <w:pPr>
              <w:spacing w:after="0"/>
              <w:rPr>
                <w:sz w:val="12"/>
                <w:szCs w:val="12"/>
                <w:color w:val="auto"/>
              </w:rPr>
            </w:pPr>
          </w:p>
        </w:tc>
        <w:tc>
          <w:tcPr>
            <w:tcW w:w="1400" w:type="dxa"/>
            <w:vAlign w:val="bottom"/>
          </w:tcPr>
          <w:p>
            <w:pPr>
              <w:jc w:val="right"/>
              <w:ind w:right="334"/>
              <w:spacing w:after="0" w:line="139" w:lineRule="exact"/>
              <w:rPr>
                <w:sz w:val="20"/>
                <w:szCs w:val="20"/>
                <w:color w:val="auto"/>
              </w:rPr>
            </w:pPr>
            <w:r>
              <w:rPr>
                <w:rFonts w:ascii="Arial" w:cs="Arial" w:eastAsia="Arial" w:hAnsi="Arial"/>
                <w:sz w:val="13"/>
                <w:szCs w:val="13"/>
                <w:color w:val="1A475F"/>
              </w:rPr>
              <w:t>715,073</w:t>
            </w:r>
          </w:p>
        </w:tc>
        <w:tc>
          <w:tcPr>
            <w:tcW w:w="740" w:type="dxa"/>
            <w:vAlign w:val="bottom"/>
            <w:gridSpan w:val="2"/>
          </w:tcPr>
          <w:p>
            <w:pPr>
              <w:jc w:val="right"/>
              <w:spacing w:after="0" w:line="139" w:lineRule="exact"/>
              <w:rPr>
                <w:sz w:val="20"/>
                <w:szCs w:val="20"/>
                <w:color w:val="auto"/>
              </w:rPr>
            </w:pPr>
            <w:r>
              <w:rPr>
                <w:rFonts w:ascii="Arial" w:cs="Arial" w:eastAsia="Arial" w:hAnsi="Arial"/>
                <w:sz w:val="13"/>
                <w:szCs w:val="13"/>
                <w:color w:val="1A475F"/>
              </w:rPr>
              <w:t>3,526</w:t>
            </w:r>
          </w:p>
        </w:tc>
        <w:tc>
          <w:tcPr>
            <w:tcW w:w="760" w:type="dxa"/>
            <w:vAlign w:val="bottom"/>
            <w:gridSpan w:val="2"/>
          </w:tcPr>
          <w:p>
            <w:pPr>
              <w:jc w:val="right"/>
              <w:spacing w:after="0" w:line="139" w:lineRule="exact"/>
              <w:rPr>
                <w:sz w:val="20"/>
                <w:szCs w:val="20"/>
                <w:color w:val="auto"/>
              </w:rPr>
            </w:pPr>
            <w:r>
              <w:rPr>
                <w:rFonts w:ascii="Arial" w:cs="Arial" w:eastAsia="Arial" w:hAnsi="Arial"/>
                <w:sz w:val="13"/>
                <w:szCs w:val="13"/>
                <w:color w:val="1A475F"/>
              </w:rPr>
              <w:t>357,536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240" w:type="dxa"/>
            <w:vAlign w:val="bottom"/>
            <w:gridSpan w:val="2"/>
          </w:tcPr>
          <w:p>
            <w:pPr>
              <w:jc w:val="right"/>
              <w:ind w:right="314"/>
              <w:spacing w:after="0" w:line="139" w:lineRule="exact"/>
              <w:rPr>
                <w:sz w:val="20"/>
                <w:szCs w:val="20"/>
                <w:color w:val="auto"/>
              </w:rPr>
            </w:pPr>
            <w:r>
              <w:rPr>
                <w:rFonts w:ascii="Arial" w:cs="Arial" w:eastAsia="Arial" w:hAnsi="Arial"/>
                <w:sz w:val="13"/>
                <w:szCs w:val="13"/>
                <w:color w:val="1A475F"/>
              </w:rPr>
              <w:t>1,767</w:t>
            </w:r>
          </w:p>
        </w:tc>
        <w:tc>
          <w:tcPr>
            <w:tcW w:w="1360" w:type="dxa"/>
            <w:vAlign w:val="bottom"/>
            <w:gridSpan w:val="2"/>
          </w:tcPr>
          <w:p>
            <w:pPr>
              <w:jc w:val="right"/>
              <w:ind w:right="374"/>
              <w:spacing w:after="0" w:line="139" w:lineRule="exact"/>
              <w:rPr>
                <w:sz w:val="20"/>
                <w:szCs w:val="20"/>
                <w:color w:val="auto"/>
              </w:rPr>
            </w:pPr>
            <w:r>
              <w:rPr>
                <w:rFonts w:ascii="Arial" w:cs="Arial" w:eastAsia="Arial" w:hAnsi="Arial"/>
                <w:sz w:val="13"/>
                <w:szCs w:val="13"/>
                <w:color w:val="1A475F"/>
              </w:rPr>
              <w:t>3,589</w:t>
            </w:r>
          </w:p>
        </w:tc>
        <w:tc>
          <w:tcPr>
            <w:tcW w:w="4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tcPr>
          <w:p>
            <w:pPr>
              <w:jc w:val="right"/>
              <w:ind w:right="194"/>
              <w:spacing w:after="0" w:line="139" w:lineRule="exact"/>
              <w:rPr>
                <w:sz w:val="20"/>
                <w:szCs w:val="20"/>
                <w:color w:val="auto"/>
              </w:rPr>
            </w:pPr>
            <w:r>
              <w:rPr>
                <w:rFonts w:ascii="Arial" w:cs="Arial" w:eastAsia="Arial" w:hAnsi="Arial"/>
                <w:sz w:val="13"/>
                <w:szCs w:val="13"/>
                <w:color w:val="1A475F"/>
                <w:w w:val="95"/>
              </w:rPr>
              <w:t>115.65</w:t>
            </w:r>
          </w:p>
        </w:tc>
        <w:tc>
          <w:tcPr>
            <w:tcW w:w="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3/4/2024</w:t>
            </w: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1A475F"/>
              </w:rPr>
              <w:t>3/4/2034</w:t>
            </w:r>
          </w:p>
        </w:tc>
        <w:tc>
          <w:tcPr>
            <w:tcW w:w="40" w:type="dxa"/>
            <w:vAlign w:val="bottom"/>
          </w:tcPr>
          <w:p>
            <w:pPr>
              <w:spacing w:after="0"/>
              <w:rPr>
                <w:sz w:val="12"/>
                <w:szCs w:val="12"/>
                <w:color w:val="auto"/>
              </w:rPr>
            </w:pPr>
          </w:p>
        </w:tc>
        <w:tc>
          <w:tcPr>
            <w:tcW w:w="1140" w:type="dxa"/>
            <w:vAlign w:val="bottom"/>
          </w:tcPr>
          <w:p>
            <w:pPr>
              <w:jc w:val="right"/>
              <w:ind w:right="274"/>
              <w:spacing w:after="0" w:line="139" w:lineRule="exact"/>
              <w:rPr>
                <w:sz w:val="20"/>
                <w:szCs w:val="20"/>
                <w:color w:val="auto"/>
              </w:rPr>
            </w:pPr>
            <w:r>
              <w:rPr>
                <w:rFonts w:ascii="Arial" w:cs="Arial" w:eastAsia="Arial" w:hAnsi="Arial"/>
                <w:sz w:val="13"/>
                <w:szCs w:val="13"/>
                <w:color w:val="1A475F"/>
              </w:rPr>
              <w:t>4,756</w:t>
            </w:r>
          </w:p>
        </w:tc>
        <w:tc>
          <w:tcPr>
            <w:tcW w:w="60" w:type="dxa"/>
            <w:vAlign w:val="bottom"/>
          </w:tcPr>
          <w:p>
            <w:pPr>
              <w:spacing w:after="0"/>
              <w:rPr>
                <w:sz w:val="12"/>
                <w:szCs w:val="12"/>
                <w:color w:val="auto"/>
              </w:rPr>
            </w:pPr>
          </w:p>
        </w:tc>
        <w:tc>
          <w:tcPr>
            <w:tcW w:w="1400" w:type="dxa"/>
            <w:vAlign w:val="bottom"/>
          </w:tcPr>
          <w:p>
            <w:pPr>
              <w:jc w:val="right"/>
              <w:ind w:right="334"/>
              <w:spacing w:after="0" w:line="139" w:lineRule="exact"/>
              <w:rPr>
                <w:sz w:val="20"/>
                <w:szCs w:val="20"/>
                <w:color w:val="auto"/>
              </w:rPr>
            </w:pPr>
            <w:r>
              <w:rPr>
                <w:rFonts w:ascii="Arial" w:cs="Arial" w:eastAsia="Arial" w:hAnsi="Arial"/>
                <w:sz w:val="13"/>
                <w:szCs w:val="13"/>
                <w:color w:val="1A475F"/>
              </w:rPr>
              <w:t>482,258</w:t>
            </w:r>
          </w:p>
        </w:tc>
        <w:tc>
          <w:tcPr>
            <w:tcW w:w="740" w:type="dxa"/>
            <w:vAlign w:val="bottom"/>
            <w:gridSpan w:val="2"/>
          </w:tcPr>
          <w:p>
            <w:pPr>
              <w:jc w:val="right"/>
              <w:spacing w:after="0" w:line="139" w:lineRule="exact"/>
              <w:rPr>
                <w:sz w:val="20"/>
                <w:szCs w:val="20"/>
                <w:color w:val="auto"/>
              </w:rPr>
            </w:pPr>
            <w:r>
              <w:rPr>
                <w:rFonts w:ascii="Arial" w:cs="Arial" w:eastAsia="Arial" w:hAnsi="Arial"/>
                <w:sz w:val="13"/>
                <w:szCs w:val="13"/>
                <w:color w:val="1A475F"/>
              </w:rPr>
              <w:t>2,378</w:t>
            </w:r>
          </w:p>
        </w:tc>
        <w:tc>
          <w:tcPr>
            <w:tcW w:w="760" w:type="dxa"/>
            <w:vAlign w:val="bottom"/>
            <w:gridSpan w:val="2"/>
          </w:tcPr>
          <w:p>
            <w:pPr>
              <w:jc w:val="right"/>
              <w:spacing w:after="0" w:line="139" w:lineRule="exact"/>
              <w:rPr>
                <w:sz w:val="20"/>
                <w:szCs w:val="20"/>
                <w:color w:val="auto"/>
              </w:rPr>
            </w:pPr>
            <w:r>
              <w:rPr>
                <w:rFonts w:ascii="Arial" w:cs="Arial" w:eastAsia="Arial" w:hAnsi="Arial"/>
                <w:sz w:val="13"/>
                <w:szCs w:val="13"/>
                <w:color w:val="1A475F"/>
              </w:rPr>
              <w:t>241,129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jc w:val="right"/>
              <w:ind w:right="294"/>
              <w:spacing w:after="0"/>
              <w:rPr>
                <w:sz w:val="20"/>
                <w:szCs w:val="20"/>
                <w:color w:val="auto"/>
              </w:rPr>
            </w:pPr>
            <w:r>
              <w:rPr>
                <w:rFonts w:ascii="Arial" w:cs="Arial" w:eastAsia="Arial" w:hAnsi="Arial"/>
                <w:sz w:val="13"/>
                <w:szCs w:val="13"/>
                <w:color w:val="1A475F"/>
              </w:rPr>
              <w:t xml:space="preserve">—   </w:t>
            </w:r>
          </w:p>
        </w:tc>
        <w:tc>
          <w:tcPr>
            <w:tcW w:w="1360" w:type="dxa"/>
            <w:vAlign w:val="bottom"/>
            <w:gridSpan w:val="2"/>
          </w:tcPr>
          <w:p>
            <w:pPr>
              <w:jc w:val="right"/>
              <w:ind w:right="374"/>
              <w:spacing w:after="0"/>
              <w:rPr>
                <w:sz w:val="20"/>
                <w:szCs w:val="20"/>
                <w:color w:val="auto"/>
              </w:rPr>
            </w:pPr>
            <w:r>
              <w:rPr>
                <w:rFonts w:ascii="Arial" w:cs="Arial" w:eastAsia="Arial" w:hAnsi="Arial"/>
                <w:sz w:val="13"/>
                <w:szCs w:val="13"/>
                <w:color w:val="1A475F"/>
              </w:rPr>
              <w:t>4,671</w:t>
            </w:r>
          </w:p>
        </w:tc>
        <w:tc>
          <w:tcPr>
            <w:tcW w:w="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1A475F"/>
              </w:rPr>
              <w:t>$</w:t>
            </w:r>
          </w:p>
        </w:tc>
        <w:tc>
          <w:tcPr>
            <w:tcW w:w="660" w:type="dxa"/>
            <w:vAlign w:val="bottom"/>
          </w:tcPr>
          <w:p>
            <w:pPr>
              <w:jc w:val="right"/>
              <w:ind w:right="194"/>
              <w:spacing w:after="0"/>
              <w:rPr>
                <w:sz w:val="20"/>
                <w:szCs w:val="20"/>
                <w:color w:val="auto"/>
              </w:rPr>
            </w:pPr>
            <w:r>
              <w:rPr>
                <w:rFonts w:ascii="Arial" w:cs="Arial" w:eastAsia="Arial" w:hAnsi="Arial"/>
                <w:sz w:val="13"/>
                <w:szCs w:val="13"/>
                <w:color w:val="1A475F"/>
                <w:w w:val="95"/>
              </w:rPr>
              <w:t>130.21</w:t>
            </w:r>
          </w:p>
        </w:tc>
        <w:tc>
          <w:tcPr>
            <w:tcW w:w="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1A475F"/>
              </w:rPr>
              <w:t>3/5/2025</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1A475F"/>
              </w:rPr>
              <w:t>3/5/2035</w:t>
            </w:r>
          </w:p>
        </w:tc>
        <w:tc>
          <w:tcPr>
            <w:tcW w:w="40" w:type="dxa"/>
            <w:vAlign w:val="bottom"/>
          </w:tcPr>
          <w:p>
            <w:pPr>
              <w:spacing w:after="0"/>
              <w:rPr>
                <w:sz w:val="13"/>
                <w:szCs w:val="13"/>
                <w:color w:val="auto"/>
              </w:rPr>
            </w:pPr>
          </w:p>
        </w:tc>
        <w:tc>
          <w:tcPr>
            <w:tcW w:w="1140" w:type="dxa"/>
            <w:vAlign w:val="bottom"/>
          </w:tcPr>
          <w:p>
            <w:pPr>
              <w:jc w:val="right"/>
              <w:ind w:right="274"/>
              <w:spacing w:after="0"/>
              <w:rPr>
                <w:sz w:val="20"/>
                <w:szCs w:val="20"/>
                <w:color w:val="auto"/>
              </w:rPr>
            </w:pPr>
            <w:r>
              <w:rPr>
                <w:rFonts w:ascii="Arial" w:cs="Arial" w:eastAsia="Arial" w:hAnsi="Arial"/>
                <w:sz w:val="13"/>
                <w:szCs w:val="13"/>
                <w:color w:val="1A475F"/>
              </w:rPr>
              <w:t>4,224</w:t>
            </w:r>
          </w:p>
        </w:tc>
        <w:tc>
          <w:tcPr>
            <w:tcW w:w="60" w:type="dxa"/>
            <w:vAlign w:val="bottom"/>
          </w:tcPr>
          <w:p>
            <w:pPr>
              <w:spacing w:after="0"/>
              <w:rPr>
                <w:sz w:val="13"/>
                <w:szCs w:val="13"/>
                <w:color w:val="auto"/>
              </w:rPr>
            </w:pPr>
          </w:p>
        </w:tc>
        <w:tc>
          <w:tcPr>
            <w:tcW w:w="1400" w:type="dxa"/>
            <w:vAlign w:val="bottom"/>
          </w:tcPr>
          <w:p>
            <w:pPr>
              <w:jc w:val="right"/>
              <w:ind w:right="334"/>
              <w:spacing w:after="0"/>
              <w:rPr>
                <w:sz w:val="20"/>
                <w:szCs w:val="20"/>
                <w:color w:val="auto"/>
              </w:rPr>
            </w:pPr>
            <w:r>
              <w:rPr>
                <w:rFonts w:ascii="Arial" w:cs="Arial" w:eastAsia="Arial" w:hAnsi="Arial"/>
                <w:sz w:val="13"/>
                <w:szCs w:val="13"/>
                <w:color w:val="1A475F"/>
              </w:rPr>
              <w:t>428,314</w:t>
            </w:r>
          </w:p>
        </w:tc>
        <w:tc>
          <w:tcPr>
            <w:tcW w:w="740" w:type="dxa"/>
            <w:vAlign w:val="bottom"/>
            <w:gridSpan w:val="2"/>
          </w:tcPr>
          <w:p>
            <w:pPr>
              <w:jc w:val="right"/>
              <w:spacing w:after="0"/>
              <w:rPr>
                <w:sz w:val="20"/>
                <w:szCs w:val="20"/>
                <w:color w:val="auto"/>
              </w:rPr>
            </w:pPr>
            <w:r>
              <w:rPr>
                <w:rFonts w:ascii="Arial" w:cs="Arial" w:eastAsia="Arial" w:hAnsi="Arial"/>
                <w:sz w:val="13"/>
                <w:szCs w:val="13"/>
                <w:color w:val="1A475F"/>
              </w:rPr>
              <w:t>2,112</w:t>
            </w:r>
          </w:p>
        </w:tc>
        <w:tc>
          <w:tcPr>
            <w:tcW w:w="760" w:type="dxa"/>
            <w:vAlign w:val="bottom"/>
            <w:gridSpan w:val="2"/>
          </w:tcPr>
          <w:p>
            <w:pPr>
              <w:jc w:val="right"/>
              <w:spacing w:after="0"/>
              <w:rPr>
                <w:sz w:val="20"/>
                <w:szCs w:val="20"/>
                <w:color w:val="auto"/>
              </w:rPr>
            </w:pPr>
            <w:r>
              <w:rPr>
                <w:rFonts w:ascii="Arial" w:cs="Arial" w:eastAsia="Arial" w:hAnsi="Arial"/>
                <w:sz w:val="13"/>
                <w:szCs w:val="13"/>
                <w:color w:val="1A475F"/>
              </w:rPr>
              <w:t>214,157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spacing w:after="0" w:line="124" w:lineRule="exact"/>
              <w:rPr>
                <w:sz w:val="20"/>
                <w:szCs w:val="20"/>
                <w:color w:val="auto"/>
              </w:rPr>
            </w:pPr>
            <w:r>
              <w:rPr>
                <w:rFonts w:ascii="Arial" w:cs="Arial" w:eastAsia="Arial" w:hAnsi="Arial"/>
                <w:sz w:val="13"/>
                <w:szCs w:val="13"/>
                <w:color w:val="1A475F"/>
                <w:w w:val="98"/>
              </w:rPr>
              <w:t>Rosamund</w:t>
            </w:r>
          </w:p>
        </w:tc>
        <w:tc>
          <w:tcPr>
            <w:tcW w:w="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line="139" w:lineRule="exact"/>
              <w:rPr>
                <w:sz w:val="20"/>
                <w:szCs w:val="20"/>
                <w:color w:val="auto"/>
              </w:rPr>
            </w:pPr>
            <w:r>
              <w:rPr>
                <w:rFonts w:ascii="Arial" w:cs="Arial" w:eastAsia="Arial" w:hAnsi="Arial"/>
                <w:sz w:val="13"/>
                <w:szCs w:val="13"/>
                <w:color w:val="1A475F"/>
              </w:rPr>
              <w:t>Marshall</w:t>
            </w:r>
          </w:p>
        </w:tc>
        <w:tc>
          <w:tcPr>
            <w:tcW w:w="1240" w:type="dxa"/>
            <w:vAlign w:val="bottom"/>
            <w:gridSpan w:val="2"/>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12,500</w:t>
            </w:r>
          </w:p>
        </w:tc>
        <w:tc>
          <w:tcPr>
            <w:tcW w:w="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660"/>
              <w:spacing w:after="0" w:line="139" w:lineRule="exact"/>
              <w:rPr>
                <w:sz w:val="20"/>
                <w:szCs w:val="20"/>
                <w:color w:val="auto"/>
              </w:rPr>
            </w:pPr>
            <w:r>
              <w:rPr>
                <w:rFonts w:ascii="Arial" w:cs="Arial" w:eastAsia="Arial" w:hAnsi="Arial"/>
                <w:sz w:val="13"/>
                <w:szCs w:val="13"/>
                <w:color w:val="1A475F"/>
              </w:rPr>
              <w:t xml:space="preserve">—   </w:t>
            </w: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169.87</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2/24/2020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2/24/2027</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74"/>
              <w:spacing w:after="0" w:line="139" w:lineRule="exact"/>
              <w:rPr>
                <w:sz w:val="20"/>
                <w:szCs w:val="20"/>
                <w:color w:val="auto"/>
              </w:rPr>
            </w:pPr>
            <w:r>
              <w:rPr>
                <w:rFonts w:ascii="Arial" w:cs="Arial" w:eastAsia="Arial" w:hAnsi="Arial"/>
                <w:sz w:val="13"/>
                <w:szCs w:val="13"/>
                <w:color w:val="1A475F"/>
              </w:rPr>
              <w:t>4,808</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4"/>
              <w:spacing w:after="0" w:line="139" w:lineRule="exact"/>
              <w:rPr>
                <w:sz w:val="20"/>
                <w:szCs w:val="20"/>
                <w:color w:val="auto"/>
              </w:rPr>
            </w:pPr>
            <w:r>
              <w:rPr>
                <w:rFonts w:ascii="Arial" w:cs="Arial" w:eastAsia="Arial" w:hAnsi="Arial"/>
                <w:sz w:val="13"/>
                <w:szCs w:val="13"/>
                <w:color w:val="1A475F"/>
              </w:rPr>
              <w:t>487,531</w:t>
            </w:r>
          </w:p>
        </w:tc>
        <w:tc>
          <w:tcPr>
            <w:tcW w:w="7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2,404</w:t>
            </w: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243,766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5,000</w:t>
            </w:r>
          </w:p>
        </w:tc>
        <w:tc>
          <w:tcPr>
            <w:tcW w:w="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660"/>
              <w:spacing w:after="0" w:line="139" w:lineRule="exact"/>
              <w:rPr>
                <w:sz w:val="20"/>
                <w:szCs w:val="20"/>
                <w:color w:val="auto"/>
              </w:rPr>
            </w:pPr>
            <w:r>
              <w:rPr>
                <w:rFonts w:ascii="Arial" w:cs="Arial" w:eastAsia="Arial" w:hAnsi="Arial"/>
                <w:sz w:val="13"/>
                <w:szCs w:val="13"/>
                <w:color w:val="1A475F"/>
              </w:rPr>
              <w:t xml:space="preserve">—   </w:t>
            </w: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135.98</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9/10/2020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9/10/2027</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74"/>
              <w:spacing w:after="0" w:line="139" w:lineRule="exact"/>
              <w:rPr>
                <w:sz w:val="20"/>
                <w:szCs w:val="20"/>
                <w:color w:val="auto"/>
              </w:rPr>
            </w:pPr>
            <w:r>
              <w:rPr>
                <w:rFonts w:ascii="Arial" w:cs="Arial" w:eastAsia="Arial" w:hAnsi="Arial"/>
                <w:sz w:val="13"/>
                <w:szCs w:val="13"/>
                <w:color w:val="1A475F"/>
              </w:rPr>
              <w:t>3,243</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4"/>
              <w:spacing w:after="0" w:line="139" w:lineRule="exact"/>
              <w:rPr>
                <w:sz w:val="20"/>
                <w:szCs w:val="20"/>
                <w:color w:val="auto"/>
              </w:rPr>
            </w:pPr>
            <w:r>
              <w:rPr>
                <w:rFonts w:ascii="Arial" w:cs="Arial" w:eastAsia="Arial" w:hAnsi="Arial"/>
                <w:sz w:val="13"/>
                <w:szCs w:val="13"/>
                <w:color w:val="1A475F"/>
              </w:rPr>
              <w:t>328,840</w:t>
            </w:r>
          </w:p>
        </w:tc>
        <w:tc>
          <w:tcPr>
            <w:tcW w:w="7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1,621</w:t>
            </w: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164,369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10,240</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2,560</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159.66</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2/26/2021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2/26/2028</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74"/>
              <w:spacing w:after="0" w:line="139" w:lineRule="exact"/>
              <w:rPr>
                <w:sz w:val="20"/>
                <w:szCs w:val="20"/>
                <w:color w:val="auto"/>
              </w:rPr>
            </w:pPr>
            <w:r>
              <w:rPr>
                <w:rFonts w:ascii="Arial" w:cs="Arial" w:eastAsia="Arial" w:hAnsi="Arial"/>
                <w:sz w:val="13"/>
                <w:szCs w:val="13"/>
                <w:color w:val="1A475F"/>
              </w:rPr>
              <w:t>2,880</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4"/>
              <w:spacing w:after="0" w:line="139" w:lineRule="exact"/>
              <w:rPr>
                <w:sz w:val="20"/>
                <w:szCs w:val="20"/>
                <w:color w:val="auto"/>
              </w:rPr>
            </w:pPr>
            <w:r>
              <w:rPr>
                <w:rFonts w:ascii="Arial" w:cs="Arial" w:eastAsia="Arial" w:hAnsi="Arial"/>
                <w:sz w:val="13"/>
                <w:szCs w:val="13"/>
                <w:color w:val="1A475F"/>
              </w:rPr>
              <w:t>292,032</w:t>
            </w:r>
          </w:p>
        </w:tc>
        <w:tc>
          <w:tcPr>
            <w:tcW w:w="7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1,440</w:t>
            </w: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1A475F"/>
              </w:rPr>
              <w:t>146,016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8,100</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5,400</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128.81</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2/25/2022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2/25/2029</w:t>
            </w:r>
          </w:p>
        </w:tc>
        <w:tc>
          <w:tcPr>
            <w:tcW w:w="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3"/>
                <w:szCs w:val="13"/>
                <w:color w:val="1A475F"/>
              </w:rPr>
              <w:t xml:space="preserve">—   </w:t>
            </w:r>
          </w:p>
        </w:tc>
        <w:tc>
          <w:tcPr>
            <w:tcW w:w="14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 xml:space="preserve">—   </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3,700</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1,909</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rPr>
              <w:t>77.99</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2/24/2023</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2/24/2033</w:t>
            </w:r>
          </w:p>
        </w:tc>
        <w:tc>
          <w:tcPr>
            <w:tcW w:w="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3"/>
                <w:szCs w:val="13"/>
                <w:color w:val="1A475F"/>
              </w:rPr>
              <w:t xml:space="preserve">—   </w:t>
            </w:r>
          </w:p>
        </w:tc>
        <w:tc>
          <w:tcPr>
            <w:tcW w:w="14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 xml:space="preserve">—   </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1,205</w:t>
            </w:r>
          </w:p>
        </w:tc>
        <w:tc>
          <w:tcPr>
            <w:tcW w:w="1360" w:type="dxa"/>
            <w:vAlign w:val="bottom"/>
            <w:gridSpan w:val="2"/>
            <w:shd w:val="clear" w:color="auto" w:fill="CCEEFF"/>
          </w:tcPr>
          <w:p>
            <w:pPr>
              <w:jc w:val="right"/>
              <w:ind w:right="374"/>
              <w:spacing w:after="0" w:line="139" w:lineRule="exact"/>
              <w:rPr>
                <w:sz w:val="20"/>
                <w:szCs w:val="20"/>
                <w:color w:val="auto"/>
              </w:rPr>
            </w:pPr>
            <w:r>
              <w:rPr>
                <w:rFonts w:ascii="Arial" w:cs="Arial" w:eastAsia="Arial" w:hAnsi="Arial"/>
                <w:sz w:val="13"/>
                <w:szCs w:val="13"/>
                <w:color w:val="1A475F"/>
              </w:rPr>
              <w:t>2,447</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line="139" w:lineRule="exact"/>
              <w:rPr>
                <w:sz w:val="20"/>
                <w:szCs w:val="20"/>
                <w:color w:val="auto"/>
              </w:rPr>
            </w:pPr>
            <w:r>
              <w:rPr>
                <w:rFonts w:ascii="Arial" w:cs="Arial" w:eastAsia="Arial" w:hAnsi="Arial"/>
                <w:sz w:val="13"/>
                <w:szCs w:val="13"/>
                <w:color w:val="1A475F"/>
                <w:w w:val="95"/>
              </w:rPr>
              <w:t>115.65</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3/4/2024</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3/4/2034</w:t>
            </w:r>
          </w:p>
        </w:tc>
        <w:tc>
          <w:tcPr>
            <w:tcW w:w="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3"/>
                <w:szCs w:val="13"/>
                <w:color w:val="1A475F"/>
              </w:rPr>
              <w:t xml:space="preserve">—   </w:t>
            </w:r>
          </w:p>
        </w:tc>
        <w:tc>
          <w:tcPr>
            <w:tcW w:w="1400" w:type="dxa"/>
            <w:vAlign w:val="bottom"/>
            <w:shd w:val="clear" w:color="auto" w:fill="CCEEFF"/>
          </w:tcPr>
          <w:p>
            <w:pPr>
              <w:jc w:val="right"/>
              <w:ind w:right="314"/>
              <w:spacing w:after="0" w:line="139" w:lineRule="exact"/>
              <w:rPr>
                <w:sz w:val="20"/>
                <w:szCs w:val="20"/>
                <w:color w:val="auto"/>
              </w:rPr>
            </w:pPr>
            <w:r>
              <w:rPr>
                <w:rFonts w:ascii="Arial" w:cs="Arial" w:eastAsia="Arial" w:hAnsi="Arial"/>
                <w:sz w:val="13"/>
                <w:szCs w:val="13"/>
                <w:color w:val="1A475F"/>
              </w:rPr>
              <w:t xml:space="preserve">—   </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1A475F"/>
              </w:rPr>
              <w:t xml:space="preserv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1A475F"/>
              </w:rPr>
              <w:t xml:space="preserve">—   </w:t>
            </w:r>
          </w:p>
        </w:tc>
        <w:tc>
          <w:tcPr>
            <w:tcW w:w="1360" w:type="dxa"/>
            <w:vAlign w:val="bottom"/>
            <w:gridSpan w:val="2"/>
            <w:shd w:val="clear" w:color="auto" w:fill="CCEEFF"/>
          </w:tcPr>
          <w:p>
            <w:pPr>
              <w:jc w:val="right"/>
              <w:ind w:right="374"/>
              <w:spacing w:after="0"/>
              <w:rPr>
                <w:sz w:val="20"/>
                <w:szCs w:val="20"/>
                <w:color w:val="auto"/>
              </w:rPr>
            </w:pPr>
            <w:r>
              <w:rPr>
                <w:rFonts w:ascii="Arial" w:cs="Arial" w:eastAsia="Arial" w:hAnsi="Arial"/>
                <w:sz w:val="13"/>
                <w:szCs w:val="13"/>
                <w:color w:val="1A475F"/>
              </w:rPr>
              <w:t>3,185</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w:t>
            </w: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1A475F"/>
                <w:w w:val="95"/>
              </w:rPr>
              <w:t>130.21</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3/5/2025</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3/5/2035</w:t>
            </w:r>
          </w:p>
        </w:tc>
        <w:tc>
          <w:tcPr>
            <w:tcW w:w="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1A475F"/>
              </w:rPr>
              <w:t xml:space="preserve">—   </w:t>
            </w:r>
          </w:p>
        </w:tc>
        <w:tc>
          <w:tcPr>
            <w:tcW w:w="14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1A475F"/>
              </w:rPr>
              <w:t xml:space="preserve">—   </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 xml:space="preserve">—   </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1A475F"/>
              </w:rPr>
              <w:t xml:space="preserve">— 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73660</wp:posOffset>
            </wp:positionV>
            <wp:extent cx="65405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4" w:lineRule="exact"/>
        <w:rPr>
          <w:sz w:val="20"/>
          <w:szCs w:val="20"/>
          <w:color w:val="auto"/>
        </w:rPr>
      </w:pPr>
    </w:p>
    <w:p>
      <w:pPr>
        <w:ind w:left="1280" w:right="440" w:hanging="379"/>
        <w:spacing w:after="0" w:line="257" w:lineRule="auto"/>
        <w:tabs>
          <w:tab w:leader="none" w:pos="1280" w:val="left"/>
        </w:tabs>
        <w:numPr>
          <w:ilvl w:val="0"/>
          <w:numId w:val="64"/>
        </w:numPr>
        <w:rPr>
          <w:rFonts w:ascii="Arial" w:cs="Arial" w:eastAsia="Arial" w:hAnsi="Arial"/>
          <w:sz w:val="12"/>
          <w:szCs w:val="12"/>
          <w:color w:val="1A475F"/>
        </w:rPr>
      </w:pPr>
      <w:r>
        <w:rPr>
          <w:rFonts w:ascii="Arial" w:cs="Arial" w:eastAsia="Arial" w:hAnsi="Arial"/>
          <w:sz w:val="12"/>
          <w:szCs w:val="12"/>
          <w:color w:val="1A475F"/>
        </w:rPr>
        <w:t>Stock options granted before 2023 vest as to 60% of the stock options on the third anniversary of the date of grant, and 20% on each of the fourth and fifth anniversaries of the date of grant, subject to continued service with the Company through each applicable vesting date. Stock options granted in and after 2023 vest in three equal installments on the first, second and third anniversary of the date of grant, subject to continued service with the Company through each applicable vesting date.</w:t>
      </w:r>
    </w:p>
    <w:p>
      <w:pPr>
        <w:spacing w:after="0" w:line="231"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46</w:t>
        <w:tab/>
        <w:t>|    Bright Horizons </w:t>
      </w:r>
    </w:p>
    <w:p>
      <w:pPr>
        <w:sectPr>
          <w:pgSz w:w="11900" w:h="16838" w:orient="portrait"/>
          <w:cols w:equalWidth="0" w:num="1">
            <w:col w:w="10780"/>
          </w:cols>
          <w:pgMar w:left="320" w:top="434" w:right="7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90" w:lineRule="exact"/>
        <w:rPr>
          <w:sz w:val="20"/>
          <w:szCs w:val="20"/>
          <w:color w:val="auto"/>
        </w:rPr>
      </w:pPr>
    </w:p>
    <w:p>
      <w:pPr>
        <w:ind w:left="1280" w:hanging="379"/>
        <w:spacing w:after="0"/>
        <w:tabs>
          <w:tab w:leader="none" w:pos="1280" w:val="left"/>
        </w:tabs>
        <w:numPr>
          <w:ilvl w:val="0"/>
          <w:numId w:val="65"/>
        </w:numPr>
        <w:rPr>
          <w:rFonts w:ascii="Arial" w:cs="Arial" w:eastAsia="Arial" w:hAnsi="Arial"/>
          <w:sz w:val="12"/>
          <w:szCs w:val="12"/>
          <w:color w:val="1A475F"/>
        </w:rPr>
      </w:pPr>
      <w:r>
        <w:rPr>
          <w:rFonts w:ascii="Arial" w:cs="Arial" w:eastAsia="Arial" w:hAnsi="Arial"/>
          <w:sz w:val="12"/>
          <w:szCs w:val="12"/>
          <w:color w:val="1A475F"/>
        </w:rPr>
        <w:t>The exercise price of each stock option awarded is the closing price of our common stock on the date of grant.</w:t>
      </w:r>
    </w:p>
    <w:p>
      <w:pPr>
        <w:spacing w:after="0" w:line="12" w:lineRule="exact"/>
        <w:rPr>
          <w:rFonts w:ascii="Arial" w:cs="Arial" w:eastAsia="Arial" w:hAnsi="Arial"/>
          <w:sz w:val="12"/>
          <w:szCs w:val="12"/>
          <w:color w:val="1A475F"/>
        </w:rPr>
      </w:pPr>
    </w:p>
    <w:p>
      <w:pPr>
        <w:ind w:left="1280" w:hanging="379"/>
        <w:spacing w:after="0"/>
        <w:tabs>
          <w:tab w:leader="none" w:pos="1280" w:val="left"/>
        </w:tabs>
        <w:numPr>
          <w:ilvl w:val="0"/>
          <w:numId w:val="65"/>
        </w:numPr>
        <w:rPr>
          <w:rFonts w:ascii="Arial" w:cs="Arial" w:eastAsia="Arial" w:hAnsi="Arial"/>
          <w:sz w:val="12"/>
          <w:szCs w:val="12"/>
          <w:color w:val="1A475F"/>
        </w:rPr>
      </w:pPr>
      <w:r>
        <w:rPr>
          <w:rFonts w:ascii="Arial" w:cs="Arial" w:eastAsia="Arial" w:hAnsi="Arial"/>
          <w:sz w:val="12"/>
          <w:szCs w:val="12"/>
          <w:color w:val="1A475F"/>
        </w:rPr>
        <w:t>Stock options granted before 2023 have a seven-year term. Stock options granted in and after 2023 have a ten-year term.</w:t>
      </w:r>
    </w:p>
    <w:p>
      <w:pPr>
        <w:ind w:left="1280" w:right="560" w:hanging="379"/>
        <w:spacing w:after="0" w:line="241" w:lineRule="auto"/>
        <w:tabs>
          <w:tab w:leader="none" w:pos="1280" w:val="left"/>
        </w:tabs>
        <w:numPr>
          <w:ilvl w:val="0"/>
          <w:numId w:val="65"/>
        </w:numPr>
        <w:rPr>
          <w:rFonts w:ascii="Arial" w:cs="Arial" w:eastAsia="Arial" w:hAnsi="Arial"/>
          <w:sz w:val="12"/>
          <w:szCs w:val="12"/>
          <w:color w:val="1A475F"/>
        </w:rPr>
      </w:pPr>
      <w:r>
        <w:rPr>
          <w:rFonts w:ascii="Arial" w:cs="Arial" w:eastAsia="Arial" w:hAnsi="Arial"/>
          <w:sz w:val="12"/>
          <w:szCs w:val="12"/>
          <w:color w:val="1A475F"/>
        </w:rPr>
        <w:t>Represents awards of RSUs. RSUs vest as to 100% on the third anniversary of the date of grant, subject to continued service with the Company through the applicable vesting date.</w:t>
      </w:r>
    </w:p>
    <w:p>
      <w:pPr>
        <w:ind w:left="1280" w:hanging="379"/>
        <w:spacing w:after="0"/>
        <w:tabs>
          <w:tab w:leader="none" w:pos="1280" w:val="left"/>
        </w:tabs>
        <w:numPr>
          <w:ilvl w:val="0"/>
          <w:numId w:val="65"/>
        </w:numPr>
        <w:rPr>
          <w:rFonts w:ascii="Arial" w:cs="Arial" w:eastAsia="Arial" w:hAnsi="Arial"/>
          <w:sz w:val="12"/>
          <w:szCs w:val="12"/>
          <w:color w:val="1A475F"/>
        </w:rPr>
      </w:pPr>
      <w:r>
        <w:rPr>
          <w:rFonts w:ascii="Arial" w:cs="Arial" w:eastAsia="Arial" w:hAnsi="Arial"/>
          <w:sz w:val="12"/>
          <w:szCs w:val="12"/>
          <w:color w:val="1A475F"/>
        </w:rPr>
        <w:t>The market value of stock awards that have not vested is determined based on the closing price of our common stock on December 31, 2025 or $101.40 per share.</w:t>
      </w:r>
    </w:p>
    <w:p>
      <w:pPr>
        <w:ind w:left="1280" w:right="140" w:hanging="379"/>
        <w:spacing w:after="0" w:line="246" w:lineRule="auto"/>
        <w:tabs>
          <w:tab w:leader="none" w:pos="1280" w:val="left"/>
        </w:tabs>
        <w:numPr>
          <w:ilvl w:val="0"/>
          <w:numId w:val="65"/>
        </w:numPr>
        <w:rPr>
          <w:rFonts w:ascii="Arial" w:cs="Arial" w:eastAsia="Arial" w:hAnsi="Arial"/>
          <w:sz w:val="12"/>
          <w:szCs w:val="12"/>
          <w:color w:val="1A475F"/>
        </w:rPr>
      </w:pPr>
      <w:r>
        <w:rPr>
          <w:rFonts w:ascii="Arial" w:cs="Arial" w:eastAsia="Arial" w:hAnsi="Arial"/>
          <w:sz w:val="12"/>
          <w:szCs w:val="12"/>
          <w:color w:val="1A475F"/>
        </w:rPr>
        <w:t>Represents the number of PRSUs assuming target level of attainment. Pursuant to SEC rules, the amounts shown for awards subject to performance conditions are based on the probable outcome as of the date of grant and are shown at target. PRSUs vest subject to achievement of applicable performance measures as determined at the end of the three-year performance period. The amounts shown assume target performance is achieved and the market value of stock awards that have not vested is determined based on the closing price of our common stock on December 31, 2025 or $101.40 per share. The actual payout values will depend, among other things, on the Company’s actual performance through the end of the performance period and the Company’s future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121920</wp:posOffset>
            </wp:positionV>
            <wp:extent cx="5997575" cy="183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13"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Option Exercises and Stock Vested</w:t>
      </w:r>
    </w:p>
    <w:p>
      <w:pPr>
        <w:spacing w:after="0" w:line="154" w:lineRule="exact"/>
        <w:rPr>
          <w:sz w:val="20"/>
          <w:szCs w:val="20"/>
          <w:color w:val="auto"/>
        </w:rPr>
      </w:pPr>
    </w:p>
    <w:p>
      <w:pPr>
        <w:ind w:left="900" w:right="60" w:firstLine="756"/>
        <w:spacing w:after="0" w:line="282" w:lineRule="auto"/>
        <w:rPr>
          <w:sz w:val="20"/>
          <w:szCs w:val="20"/>
          <w:color w:val="auto"/>
        </w:rPr>
      </w:pPr>
      <w:r>
        <w:rPr>
          <w:rFonts w:ascii="Arial" w:cs="Arial" w:eastAsia="Arial" w:hAnsi="Arial"/>
          <w:sz w:val="15"/>
          <w:szCs w:val="15"/>
          <w:color w:val="1A475F"/>
        </w:rPr>
        <w:t>The following table sets forth information regarding stock options that were exercised, shares of purchased restricted stock that vested and restricted stock units that vested, each during 2025.</w:t>
      </w:r>
    </w:p>
    <w:p>
      <w:pPr>
        <w:spacing w:after="0" w:line="153"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1A475F"/>
              </w:rPr>
              <w:t>Option Awards</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1A475F"/>
              </w:rPr>
              <w:t>Stock Awards</w:t>
            </w:r>
          </w:p>
        </w:tc>
        <w:tc>
          <w:tcPr>
            <w:tcW w:w="0" w:type="dxa"/>
            <w:vAlign w:val="bottom"/>
          </w:tcPr>
          <w:p>
            <w:pPr>
              <w:spacing w:after="0"/>
              <w:rPr>
                <w:sz w:val="1"/>
                <w:szCs w:val="1"/>
                <w:color w:val="auto"/>
              </w:rPr>
            </w:pPr>
          </w:p>
        </w:tc>
      </w:tr>
      <w:tr>
        <w:trPr>
          <w:trHeight w:val="141"/>
        </w:trPr>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160"/>
              <w:spacing w:after="0" w:line="141" w:lineRule="exact"/>
              <w:rPr>
                <w:sz w:val="20"/>
                <w:szCs w:val="20"/>
                <w:color w:val="auto"/>
              </w:rPr>
            </w:pPr>
            <w:r>
              <w:rPr>
                <w:rFonts w:ascii="Arial" w:cs="Arial" w:eastAsia="Arial" w:hAnsi="Arial"/>
                <w:sz w:val="14"/>
                <w:szCs w:val="14"/>
                <w:b w:val="1"/>
                <w:bCs w:val="1"/>
                <w:color w:val="1A475F"/>
              </w:rPr>
              <w:t>Number of</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1A475F"/>
                <w:w w:val="99"/>
              </w:rPr>
              <w:t>Number of</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left="87"/>
              <w:spacing w:after="0"/>
              <w:rPr>
                <w:sz w:val="20"/>
                <w:szCs w:val="20"/>
                <w:color w:val="auto"/>
              </w:rPr>
            </w:pPr>
            <w:r>
              <w:rPr>
                <w:rFonts w:ascii="Arial" w:cs="Arial" w:eastAsia="Arial" w:hAnsi="Arial"/>
                <w:sz w:val="14"/>
                <w:szCs w:val="14"/>
                <w:b w:val="1"/>
                <w:bCs w:val="1"/>
                <w:color w:val="1A475F"/>
                <w:w w:val="98"/>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1A475F"/>
              </w:rPr>
              <w:t>Value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A475F"/>
                <w:w w:val="98"/>
              </w:rPr>
              <w:t>Shares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A475F"/>
                <w:w w:val="96"/>
              </w:rPr>
              <w:t>Value</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1A475F"/>
              </w:rPr>
              <w:t>Acquired on</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1A475F"/>
              </w:rPr>
              <w:t>Realized on</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A475F"/>
              </w:rPr>
              <w:t>Acquired 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A475F"/>
                <w:w w:val="97"/>
              </w:rPr>
              <w:t>Realized on</w:t>
            </w:r>
          </w:p>
        </w:tc>
        <w:tc>
          <w:tcPr>
            <w:tcW w:w="0" w:type="dxa"/>
            <w:vAlign w:val="bottom"/>
          </w:tcPr>
          <w:p>
            <w:pPr>
              <w:spacing w:after="0"/>
              <w:rPr>
                <w:sz w:val="1"/>
                <w:szCs w:val="1"/>
                <w:color w:val="auto"/>
              </w:rPr>
            </w:pPr>
          </w:p>
        </w:tc>
      </w:tr>
      <w:tr>
        <w:trPr>
          <w:trHeight w:val="162"/>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1A475F"/>
              </w:rPr>
              <w:t>Name</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1A475F"/>
              </w:rPr>
              <w:t>Exercise</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1A475F"/>
              </w:rPr>
              <w:t>Exercise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A475F"/>
                <w:w w:val="98"/>
              </w:rPr>
              <w:t>Vesting</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A475F"/>
                <w:w w:val="94"/>
              </w:rPr>
              <w:t>Vesting</w:t>
            </w:r>
          </w:p>
        </w:tc>
        <w:tc>
          <w:tcPr>
            <w:tcW w:w="0" w:type="dxa"/>
            <w:vAlign w:val="bottom"/>
          </w:tcPr>
          <w:p>
            <w:pPr>
              <w:spacing w:after="0"/>
              <w:rPr>
                <w:sz w:val="1"/>
                <w:szCs w:val="1"/>
                <w:color w:val="auto"/>
              </w:rPr>
            </w:pPr>
          </w:p>
        </w:tc>
      </w:tr>
      <w:tr>
        <w:trPr>
          <w:trHeight w:val="174"/>
        </w:trPr>
        <w:tc>
          <w:tcPr>
            <w:tcW w:w="5400" w:type="dxa"/>
            <w:vAlign w:val="bottom"/>
            <w:gridSpan w:val="2"/>
            <w:vMerge w:val="continue"/>
          </w:tcPr>
          <w:p>
            <w:pPr>
              <w:spacing w:after="0"/>
              <w:rPr>
                <w:sz w:val="15"/>
                <w:szCs w:val="15"/>
                <w:color w:val="auto"/>
              </w:rPr>
            </w:pPr>
          </w:p>
        </w:tc>
        <w:tc>
          <w:tcPr>
            <w:tcW w:w="660" w:type="dxa"/>
            <w:vAlign w:val="bottom"/>
          </w:tcPr>
          <w:p>
            <w:pPr>
              <w:jc w:val="center"/>
              <w:ind w:left="87"/>
              <w:spacing w:after="0"/>
              <w:rPr>
                <w:sz w:val="20"/>
                <w:szCs w:val="20"/>
                <w:color w:val="auto"/>
              </w:rPr>
            </w:pPr>
            <w:r>
              <w:rPr>
                <w:rFonts w:ascii="Arial" w:cs="Arial" w:eastAsia="Arial" w:hAnsi="Arial"/>
                <w:sz w:val="14"/>
                <w:szCs w:val="14"/>
                <w:b w:val="1"/>
                <w:bCs w:val="1"/>
                <w:color w:val="1A475F"/>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left="366"/>
              <w:spacing w:after="0"/>
              <w:rPr>
                <w:sz w:val="20"/>
                <w:szCs w:val="20"/>
                <w:color w:val="auto"/>
              </w:rPr>
            </w:pPr>
            <w:r>
              <w:rPr>
                <w:rFonts w:ascii="Arial" w:cs="Arial" w:eastAsia="Arial" w:hAnsi="Arial"/>
                <w:sz w:val="14"/>
                <w:szCs w:val="14"/>
                <w:b w:val="1"/>
                <w:bCs w:val="1"/>
                <w:color w:val="1A475F"/>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1A475F"/>
              </w:rPr>
              <w:t>(#)</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1A475F"/>
                <w:w w:val="93"/>
              </w:rPr>
              <w:t>($)</w:t>
            </w:r>
          </w:p>
        </w:tc>
        <w:tc>
          <w:tcPr>
            <w:tcW w:w="0" w:type="dxa"/>
            <w:vAlign w:val="bottom"/>
          </w:tcPr>
          <w:p>
            <w:pPr>
              <w:spacing w:after="0"/>
              <w:rPr>
                <w:sz w:val="1"/>
                <w:szCs w:val="1"/>
                <w:color w:val="auto"/>
              </w:rPr>
            </w:pPr>
          </w:p>
        </w:tc>
      </w:tr>
      <w:tr>
        <w:trPr>
          <w:trHeight w:val="165"/>
        </w:trPr>
        <w:tc>
          <w:tcPr>
            <w:tcW w:w="530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color w:val="1A475F"/>
              </w:rPr>
              <w:t>Stephen H. Kramer</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ind w:left="360"/>
              <w:spacing w:after="0" w:line="165" w:lineRule="exact"/>
              <w:rPr>
                <w:sz w:val="20"/>
                <w:szCs w:val="20"/>
                <w:color w:val="auto"/>
              </w:rPr>
            </w:pPr>
            <w:r>
              <w:rPr>
                <w:rFonts w:ascii="Arial" w:cs="Arial" w:eastAsia="Arial" w:hAnsi="Arial"/>
                <w:sz w:val="15"/>
                <w:szCs w:val="15"/>
                <w:color w:val="1A475F"/>
                <w:w w:val="93"/>
              </w:rPr>
              <w:t>— </w:t>
            </w:r>
          </w:p>
        </w:tc>
        <w:tc>
          <w:tcPr>
            <w:tcW w:w="16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5"/>
                <w:szCs w:val="15"/>
                <w:color w:val="1A475F"/>
              </w:rPr>
              <w:t>  </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ind w:left="420"/>
              <w:spacing w:after="0" w:line="165" w:lineRule="exact"/>
              <w:rPr>
                <w:sz w:val="20"/>
                <w:szCs w:val="20"/>
                <w:color w:val="auto"/>
              </w:rPr>
            </w:pPr>
            <w:r>
              <w:rPr>
                <w:rFonts w:ascii="Arial" w:cs="Arial" w:eastAsia="Arial" w:hAnsi="Arial"/>
                <w:sz w:val="15"/>
                <w:szCs w:val="15"/>
                <w:color w:val="1A475F"/>
                <w:w w:val="86"/>
              </w:rPr>
              <w:t>— </w:t>
            </w:r>
          </w:p>
        </w:tc>
        <w:tc>
          <w:tcPr>
            <w:tcW w:w="460" w:type="dxa"/>
            <w:vAlign w:val="bottom"/>
            <w:tcBorders>
              <w:top w:val="single" w:sz="8" w:color="auto"/>
            </w:tcBorders>
            <w:shd w:val="clear" w:color="auto" w:fill="CCEEFF"/>
          </w:tcPr>
          <w:p>
            <w:pPr>
              <w:ind w:left="40"/>
              <w:spacing w:after="0" w:line="165" w:lineRule="exact"/>
              <w:rPr>
                <w:sz w:val="20"/>
                <w:szCs w:val="20"/>
                <w:color w:val="auto"/>
              </w:rPr>
            </w:pPr>
            <w:r>
              <w:rPr>
                <w:rFonts w:ascii="Arial" w:cs="Arial" w:eastAsia="Arial" w:hAnsi="Arial"/>
                <w:sz w:val="15"/>
                <w:szCs w:val="15"/>
                <w:color w:val="1A475F"/>
              </w:rPr>
              <w:t> </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5"/>
                <w:szCs w:val="15"/>
                <w:color w:val="1A475F"/>
              </w:rPr>
              <w:t>18,800</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3"/>
                <w:szCs w:val="13"/>
                <w:color w:val="1A475F"/>
              </w:rPr>
              <w:t>2,390,796</w:t>
            </w:r>
            <w:r>
              <w:rPr>
                <w:rFonts w:ascii="Arial" w:cs="Arial" w:eastAsia="Arial" w:hAnsi="Arial"/>
                <w:sz w:val="19"/>
                <w:szCs w:val="19"/>
                <w:color w:val="1A475F"/>
                <w:vertAlign w:val="superscript"/>
              </w:rPr>
              <w:t>(1)</w:t>
            </w:r>
          </w:p>
        </w:tc>
        <w:tc>
          <w:tcPr>
            <w:tcW w:w="0" w:type="dxa"/>
            <w:vAlign w:val="bottom"/>
          </w:tcPr>
          <w:p>
            <w:pPr>
              <w:spacing w:after="0"/>
              <w:rPr>
                <w:sz w:val="1"/>
                <w:szCs w:val="1"/>
                <w:color w:val="auto"/>
              </w:rPr>
            </w:pPr>
          </w:p>
        </w:tc>
      </w:tr>
      <w:tr>
        <w:trPr>
          <w:trHeight w:val="174"/>
        </w:trPr>
        <w:tc>
          <w:tcPr>
            <w:tcW w:w="5400" w:type="dxa"/>
            <w:vAlign w:val="bottom"/>
            <w:gridSpan w:val="2"/>
          </w:tcPr>
          <w:p>
            <w:pPr>
              <w:spacing w:after="0"/>
              <w:rPr>
                <w:sz w:val="20"/>
                <w:szCs w:val="20"/>
                <w:color w:val="auto"/>
              </w:rPr>
            </w:pPr>
            <w:r>
              <w:rPr>
                <w:rFonts w:ascii="Arial" w:cs="Arial" w:eastAsia="Arial" w:hAnsi="Arial"/>
                <w:sz w:val="15"/>
                <w:szCs w:val="15"/>
                <w:color w:val="1A475F"/>
              </w:rPr>
              <w:t>Elizabeth J. Boland</w:t>
            </w:r>
          </w:p>
        </w:tc>
        <w:tc>
          <w:tcPr>
            <w:tcW w:w="660" w:type="dxa"/>
            <w:vAlign w:val="bottom"/>
          </w:tcPr>
          <w:p>
            <w:pPr>
              <w:ind w:left="360"/>
              <w:spacing w:after="0"/>
              <w:rPr>
                <w:sz w:val="20"/>
                <w:szCs w:val="20"/>
                <w:color w:val="auto"/>
              </w:rPr>
            </w:pPr>
            <w:r>
              <w:rPr>
                <w:rFonts w:ascii="Arial" w:cs="Arial" w:eastAsia="Arial" w:hAnsi="Arial"/>
                <w:sz w:val="15"/>
                <w:szCs w:val="15"/>
                <w:color w:val="1A475F"/>
                <w:w w:val="93"/>
              </w:rPr>
              <w:t>— </w:t>
            </w:r>
          </w:p>
        </w:tc>
        <w:tc>
          <w:tcPr>
            <w:tcW w:w="260" w:type="dxa"/>
            <w:vAlign w:val="bottom"/>
            <w:gridSpan w:val="2"/>
          </w:tcPr>
          <w:p>
            <w:pPr>
              <w:jc w:val="right"/>
              <w:ind w:right="160"/>
              <w:spacing w:after="0"/>
              <w:rPr>
                <w:sz w:val="20"/>
                <w:szCs w:val="20"/>
                <w:color w:val="auto"/>
              </w:rPr>
            </w:pPr>
            <w:r>
              <w:rPr>
                <w:rFonts w:ascii="Arial" w:cs="Arial" w:eastAsia="Arial" w:hAnsi="Arial"/>
                <w:sz w:val="15"/>
                <w:szCs w:val="15"/>
                <w:color w:val="1A475F"/>
              </w:rPr>
              <w:t>  </w:t>
            </w:r>
          </w:p>
        </w:tc>
        <w:tc>
          <w:tcPr>
            <w:tcW w:w="700" w:type="dxa"/>
            <w:vAlign w:val="bottom"/>
          </w:tcPr>
          <w:p>
            <w:pPr>
              <w:ind w:left="420"/>
              <w:spacing w:after="0"/>
              <w:rPr>
                <w:sz w:val="20"/>
                <w:szCs w:val="20"/>
                <w:color w:val="auto"/>
              </w:rPr>
            </w:pPr>
            <w:r>
              <w:rPr>
                <w:rFonts w:ascii="Arial" w:cs="Arial" w:eastAsia="Arial" w:hAnsi="Arial"/>
                <w:sz w:val="15"/>
                <w:szCs w:val="15"/>
                <w:color w:val="1A475F"/>
                <w:w w:val="86"/>
              </w:rPr>
              <w:t>— </w:t>
            </w:r>
          </w:p>
        </w:tc>
        <w:tc>
          <w:tcPr>
            <w:tcW w:w="540" w:type="dxa"/>
            <w:vAlign w:val="bottom"/>
            <w:gridSpan w:val="2"/>
          </w:tcPr>
          <w:p>
            <w:pPr>
              <w:ind w:left="40"/>
              <w:spacing w:after="0"/>
              <w:rPr>
                <w:sz w:val="20"/>
                <w:szCs w:val="20"/>
                <w:color w:val="auto"/>
              </w:rPr>
            </w:pPr>
            <w:r>
              <w:rPr>
                <w:rFonts w:ascii="Arial" w:cs="Arial" w:eastAsia="Arial" w:hAnsi="Arial"/>
                <w:sz w:val="15"/>
                <w:szCs w:val="15"/>
                <w:color w:val="1A475F"/>
              </w:rPr>
              <w:t> </w:t>
            </w:r>
          </w:p>
        </w:tc>
        <w:tc>
          <w:tcPr>
            <w:tcW w:w="820" w:type="dxa"/>
            <w:vAlign w:val="bottom"/>
          </w:tcPr>
          <w:p>
            <w:pPr>
              <w:jc w:val="right"/>
              <w:spacing w:after="0"/>
              <w:rPr>
                <w:sz w:val="20"/>
                <w:szCs w:val="20"/>
                <w:color w:val="auto"/>
              </w:rPr>
            </w:pPr>
            <w:r>
              <w:rPr>
                <w:rFonts w:ascii="Arial" w:cs="Arial" w:eastAsia="Arial" w:hAnsi="Arial"/>
                <w:sz w:val="15"/>
                <w:szCs w:val="15"/>
                <w:color w:val="1A475F"/>
              </w:rPr>
              <w:t>10,120</w:t>
            </w:r>
          </w:p>
        </w:tc>
        <w:tc>
          <w:tcPr>
            <w:tcW w:w="10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Arial" w:cs="Arial" w:eastAsia="Arial" w:hAnsi="Arial"/>
                <w:sz w:val="14"/>
                <w:szCs w:val="14"/>
                <w:color w:val="1A475F"/>
              </w:rPr>
              <w:t>1,286,960</w:t>
            </w:r>
            <w:r>
              <w:rPr>
                <w:rFonts w:ascii="Arial" w:cs="Arial" w:eastAsia="Arial" w:hAnsi="Arial"/>
                <w:sz w:val="20"/>
                <w:szCs w:val="20"/>
                <w:color w:val="1A475F"/>
                <w:vertAlign w:val="superscript"/>
              </w:rPr>
              <w:t>(1)</w:t>
            </w:r>
          </w:p>
        </w:tc>
        <w:tc>
          <w:tcPr>
            <w:tcW w:w="0" w:type="dxa"/>
            <w:vAlign w:val="bottom"/>
          </w:tcPr>
          <w:p>
            <w:pPr>
              <w:spacing w:after="0"/>
              <w:rPr>
                <w:sz w:val="1"/>
                <w:szCs w:val="1"/>
                <w:color w:val="auto"/>
              </w:rPr>
            </w:pPr>
          </w:p>
        </w:tc>
      </w:tr>
      <w:tr>
        <w:trPr>
          <w:trHeight w:val="174"/>
        </w:trPr>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1A475F"/>
              </w:rPr>
              <w:t>Mary Lou Burke Afonso</w:t>
            </w:r>
          </w:p>
        </w:tc>
        <w:tc>
          <w:tcPr>
            <w:tcW w:w="660" w:type="dxa"/>
            <w:vAlign w:val="bottom"/>
            <w:shd w:val="clear" w:color="auto" w:fill="CCEEFF"/>
          </w:tcPr>
          <w:p>
            <w:pPr>
              <w:ind w:left="360"/>
              <w:spacing w:after="0"/>
              <w:rPr>
                <w:sz w:val="20"/>
                <w:szCs w:val="20"/>
                <w:color w:val="auto"/>
              </w:rPr>
            </w:pPr>
            <w:r>
              <w:rPr>
                <w:rFonts w:ascii="Arial" w:cs="Arial" w:eastAsia="Arial" w:hAnsi="Arial"/>
                <w:sz w:val="15"/>
                <w:szCs w:val="15"/>
                <w:color w:val="1A475F"/>
                <w:w w:val="93"/>
              </w:rPr>
              <w:t>— </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1A475F"/>
              </w:rPr>
              <w:t>  </w:t>
            </w:r>
          </w:p>
        </w:tc>
        <w:tc>
          <w:tcPr>
            <w:tcW w:w="700" w:type="dxa"/>
            <w:vAlign w:val="bottom"/>
            <w:shd w:val="clear" w:color="auto" w:fill="CCEEFF"/>
          </w:tcPr>
          <w:p>
            <w:pPr>
              <w:ind w:left="420"/>
              <w:spacing w:after="0"/>
              <w:rPr>
                <w:sz w:val="20"/>
                <w:szCs w:val="20"/>
                <w:color w:val="auto"/>
              </w:rPr>
            </w:pPr>
            <w:r>
              <w:rPr>
                <w:rFonts w:ascii="Arial" w:cs="Arial" w:eastAsia="Arial" w:hAnsi="Arial"/>
                <w:sz w:val="15"/>
                <w:szCs w:val="15"/>
                <w:color w:val="1A475F"/>
                <w:w w:val="86"/>
              </w:rPr>
              <w:t>— </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1A475F"/>
              </w:rPr>
              <w:t> </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1A475F"/>
              </w:rPr>
              <w:t>   4,125</w:t>
            </w:r>
          </w:p>
        </w:tc>
        <w:tc>
          <w:tcPr>
            <w:tcW w:w="980" w:type="dxa"/>
            <w:vAlign w:val="bottom"/>
            <w:shd w:val="clear" w:color="auto" w:fill="CCEEFF"/>
          </w:tcPr>
          <w:p>
            <w:pPr>
              <w:jc w:val="right"/>
              <w:spacing w:after="0" w:line="174" w:lineRule="exact"/>
              <w:rPr>
                <w:sz w:val="20"/>
                <w:szCs w:val="20"/>
                <w:color w:val="auto"/>
              </w:rPr>
            </w:pPr>
            <w:r>
              <w:rPr>
                <w:rFonts w:ascii="Arial" w:cs="Arial" w:eastAsia="Arial" w:hAnsi="Arial"/>
                <w:sz w:val="14"/>
                <w:szCs w:val="14"/>
                <w:color w:val="1A475F"/>
              </w:rPr>
              <w:t>524,576</w:t>
            </w:r>
            <w:r>
              <w:rPr>
                <w:rFonts w:ascii="Arial" w:cs="Arial" w:eastAsia="Arial" w:hAnsi="Arial"/>
                <w:sz w:val="20"/>
                <w:szCs w:val="20"/>
                <w:color w:val="1A475F"/>
                <w:vertAlign w:val="superscript"/>
              </w:rPr>
              <w:t>(1)</w:t>
            </w:r>
          </w:p>
        </w:tc>
        <w:tc>
          <w:tcPr>
            <w:tcW w:w="0" w:type="dxa"/>
            <w:vAlign w:val="bottom"/>
          </w:tcPr>
          <w:p>
            <w:pPr>
              <w:spacing w:after="0"/>
              <w:rPr>
                <w:sz w:val="1"/>
                <w:szCs w:val="1"/>
                <w:color w:val="auto"/>
              </w:rPr>
            </w:pPr>
          </w:p>
        </w:tc>
      </w:tr>
      <w:tr>
        <w:trPr>
          <w:trHeight w:val="174"/>
        </w:trPr>
        <w:tc>
          <w:tcPr>
            <w:tcW w:w="5400" w:type="dxa"/>
            <w:vAlign w:val="bottom"/>
            <w:gridSpan w:val="2"/>
          </w:tcPr>
          <w:p>
            <w:pPr>
              <w:spacing w:after="0"/>
              <w:rPr>
                <w:sz w:val="20"/>
                <w:szCs w:val="20"/>
                <w:color w:val="auto"/>
              </w:rPr>
            </w:pPr>
            <w:r>
              <w:rPr>
                <w:rFonts w:ascii="Arial" w:cs="Arial" w:eastAsia="Arial" w:hAnsi="Arial"/>
                <w:sz w:val="15"/>
                <w:szCs w:val="15"/>
                <w:color w:val="1A475F"/>
              </w:rPr>
              <w:t>Mandy Berman</w:t>
            </w:r>
          </w:p>
        </w:tc>
        <w:tc>
          <w:tcPr>
            <w:tcW w:w="660" w:type="dxa"/>
            <w:vAlign w:val="bottom"/>
          </w:tcPr>
          <w:p>
            <w:pPr>
              <w:ind w:left="360"/>
              <w:spacing w:after="0"/>
              <w:rPr>
                <w:sz w:val="20"/>
                <w:szCs w:val="20"/>
                <w:color w:val="auto"/>
              </w:rPr>
            </w:pPr>
            <w:r>
              <w:rPr>
                <w:rFonts w:ascii="Arial" w:cs="Arial" w:eastAsia="Arial" w:hAnsi="Arial"/>
                <w:sz w:val="15"/>
                <w:szCs w:val="15"/>
                <w:color w:val="1A475F"/>
                <w:w w:val="93"/>
              </w:rPr>
              <w:t>— </w:t>
            </w:r>
          </w:p>
        </w:tc>
        <w:tc>
          <w:tcPr>
            <w:tcW w:w="260" w:type="dxa"/>
            <w:vAlign w:val="bottom"/>
            <w:gridSpan w:val="2"/>
          </w:tcPr>
          <w:p>
            <w:pPr>
              <w:jc w:val="right"/>
              <w:ind w:right="160"/>
              <w:spacing w:after="0"/>
              <w:rPr>
                <w:sz w:val="20"/>
                <w:szCs w:val="20"/>
                <w:color w:val="auto"/>
              </w:rPr>
            </w:pPr>
            <w:r>
              <w:rPr>
                <w:rFonts w:ascii="Arial" w:cs="Arial" w:eastAsia="Arial" w:hAnsi="Arial"/>
                <w:sz w:val="15"/>
                <w:szCs w:val="15"/>
                <w:color w:val="1A475F"/>
              </w:rPr>
              <w:t>  </w:t>
            </w:r>
          </w:p>
        </w:tc>
        <w:tc>
          <w:tcPr>
            <w:tcW w:w="700" w:type="dxa"/>
            <w:vAlign w:val="bottom"/>
          </w:tcPr>
          <w:p>
            <w:pPr>
              <w:ind w:left="420"/>
              <w:spacing w:after="0"/>
              <w:rPr>
                <w:sz w:val="20"/>
                <w:szCs w:val="20"/>
                <w:color w:val="auto"/>
              </w:rPr>
            </w:pPr>
            <w:r>
              <w:rPr>
                <w:rFonts w:ascii="Arial" w:cs="Arial" w:eastAsia="Arial" w:hAnsi="Arial"/>
                <w:sz w:val="15"/>
                <w:szCs w:val="15"/>
                <w:color w:val="1A475F"/>
                <w:w w:val="86"/>
              </w:rPr>
              <w:t>— </w:t>
            </w:r>
          </w:p>
        </w:tc>
        <w:tc>
          <w:tcPr>
            <w:tcW w:w="540" w:type="dxa"/>
            <w:vAlign w:val="bottom"/>
            <w:gridSpan w:val="2"/>
          </w:tcPr>
          <w:p>
            <w:pPr>
              <w:ind w:left="40"/>
              <w:spacing w:after="0"/>
              <w:rPr>
                <w:sz w:val="20"/>
                <w:szCs w:val="20"/>
                <w:color w:val="auto"/>
              </w:rPr>
            </w:pPr>
            <w:r>
              <w:rPr>
                <w:rFonts w:ascii="Arial" w:cs="Arial" w:eastAsia="Arial" w:hAnsi="Arial"/>
                <w:sz w:val="15"/>
                <w:szCs w:val="15"/>
                <w:color w:val="1A475F"/>
              </w:rPr>
              <w:t> </w:t>
            </w:r>
          </w:p>
        </w:tc>
        <w:tc>
          <w:tcPr>
            <w:tcW w:w="920" w:type="dxa"/>
            <w:vAlign w:val="bottom"/>
            <w:gridSpan w:val="2"/>
          </w:tcPr>
          <w:p>
            <w:pPr>
              <w:ind w:left="440"/>
              <w:spacing w:after="0"/>
              <w:rPr>
                <w:sz w:val="20"/>
                <w:szCs w:val="20"/>
                <w:color w:val="auto"/>
              </w:rPr>
            </w:pPr>
            <w:r>
              <w:rPr>
                <w:rFonts w:ascii="Arial" w:cs="Arial" w:eastAsia="Arial" w:hAnsi="Arial"/>
                <w:sz w:val="15"/>
                <w:szCs w:val="15"/>
                <w:color w:val="1A475F"/>
              </w:rPr>
              <w:t>—     </w:t>
            </w:r>
          </w:p>
        </w:tc>
        <w:tc>
          <w:tcPr>
            <w:tcW w:w="980" w:type="dxa"/>
            <w:vAlign w:val="bottom"/>
          </w:tcPr>
          <w:p>
            <w:pPr>
              <w:jc w:val="right"/>
              <w:ind w:right="110"/>
              <w:spacing w:after="0"/>
              <w:rPr>
                <w:sz w:val="20"/>
                <w:szCs w:val="20"/>
                <w:color w:val="auto"/>
              </w:rPr>
            </w:pPr>
            <w:r>
              <w:rPr>
                <w:rFonts w:ascii="Arial" w:cs="Arial" w:eastAsia="Arial" w:hAnsi="Arial"/>
                <w:sz w:val="15"/>
                <w:szCs w:val="15"/>
                <w:color w:val="1A475F"/>
              </w:rPr>
              <w:t xml:space="preserve">—    </w:t>
            </w:r>
          </w:p>
        </w:tc>
        <w:tc>
          <w:tcPr>
            <w:tcW w:w="0" w:type="dxa"/>
            <w:vAlign w:val="bottom"/>
          </w:tcPr>
          <w:p>
            <w:pPr>
              <w:spacing w:after="0"/>
              <w:rPr>
                <w:sz w:val="1"/>
                <w:szCs w:val="1"/>
                <w:color w:val="auto"/>
              </w:rPr>
            </w:pPr>
          </w:p>
        </w:tc>
      </w:tr>
      <w:tr>
        <w:trPr>
          <w:trHeight w:val="174"/>
        </w:trPr>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1A475F"/>
              </w:rPr>
              <w:t>Rosamund Marshall</w:t>
            </w:r>
          </w:p>
        </w:tc>
        <w:tc>
          <w:tcPr>
            <w:tcW w:w="660" w:type="dxa"/>
            <w:vAlign w:val="bottom"/>
            <w:shd w:val="clear" w:color="auto" w:fill="CCEEFF"/>
          </w:tcPr>
          <w:p>
            <w:pPr>
              <w:ind w:left="360"/>
              <w:spacing w:after="0"/>
              <w:rPr>
                <w:sz w:val="20"/>
                <w:szCs w:val="20"/>
                <w:color w:val="auto"/>
              </w:rPr>
            </w:pPr>
            <w:r>
              <w:rPr>
                <w:rFonts w:ascii="Arial" w:cs="Arial" w:eastAsia="Arial" w:hAnsi="Arial"/>
                <w:sz w:val="15"/>
                <w:szCs w:val="15"/>
                <w:color w:val="1A475F"/>
                <w:w w:val="93"/>
              </w:rPr>
              <w:t>— </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1A475F"/>
              </w:rPr>
              <w:t>  </w:t>
            </w:r>
          </w:p>
        </w:tc>
        <w:tc>
          <w:tcPr>
            <w:tcW w:w="700" w:type="dxa"/>
            <w:vAlign w:val="bottom"/>
            <w:shd w:val="clear" w:color="auto" w:fill="CCEEFF"/>
          </w:tcPr>
          <w:p>
            <w:pPr>
              <w:ind w:left="420"/>
              <w:spacing w:after="0"/>
              <w:rPr>
                <w:sz w:val="20"/>
                <w:szCs w:val="20"/>
                <w:color w:val="auto"/>
              </w:rPr>
            </w:pPr>
            <w:r>
              <w:rPr>
                <w:rFonts w:ascii="Arial" w:cs="Arial" w:eastAsia="Arial" w:hAnsi="Arial"/>
                <w:sz w:val="15"/>
                <w:szCs w:val="15"/>
                <w:color w:val="1A475F"/>
                <w:w w:val="86"/>
              </w:rPr>
              <w:t>— </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1A475F"/>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1A475F"/>
              </w:rPr>
              <w:t>5,000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Arial" w:cs="Arial" w:eastAsia="Arial" w:hAnsi="Arial"/>
                <w:sz w:val="14"/>
                <w:szCs w:val="14"/>
                <w:color w:val="1A475F"/>
              </w:rPr>
              <w:t>588,000</w:t>
            </w:r>
            <w:r>
              <w:rPr>
                <w:rFonts w:ascii="Arial" w:cs="Arial" w:eastAsia="Arial" w:hAnsi="Arial"/>
                <w:sz w:val="20"/>
                <w:szCs w:val="20"/>
                <w:color w:val="1A475F"/>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73660</wp:posOffset>
            </wp:positionV>
            <wp:extent cx="65405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4" w:lineRule="exact"/>
        <w:rPr>
          <w:sz w:val="20"/>
          <w:szCs w:val="20"/>
          <w:color w:val="auto"/>
        </w:rPr>
      </w:pPr>
    </w:p>
    <w:p>
      <w:pPr>
        <w:ind w:left="1280" w:right="120" w:hanging="379"/>
        <w:spacing w:after="0" w:line="255" w:lineRule="auto"/>
        <w:tabs>
          <w:tab w:leader="none" w:pos="1280" w:val="left"/>
        </w:tabs>
        <w:numPr>
          <w:ilvl w:val="0"/>
          <w:numId w:val="66"/>
        </w:numPr>
        <w:rPr>
          <w:rFonts w:ascii="Arial" w:cs="Arial" w:eastAsia="Arial" w:hAnsi="Arial"/>
          <w:sz w:val="12"/>
          <w:szCs w:val="12"/>
          <w:color w:val="1A475F"/>
        </w:rPr>
      </w:pPr>
      <w:r>
        <w:rPr>
          <w:rFonts w:ascii="Arial" w:cs="Arial" w:eastAsia="Arial" w:hAnsi="Arial"/>
          <w:sz w:val="12"/>
          <w:szCs w:val="12"/>
          <w:color w:val="1A475F"/>
        </w:rPr>
        <w:t>Represents the fair market value of the underlying shares of purchased restricted stock awards as of the vesting date multiplied by the number of shares that vested. NEOs who received purchased restricted stock awards paid 50% of the fair market value of the underlying shares on the grant date. The following NEOs paid the following purchase price at the time of grant and such amounts are not accounted for in the above table. Taking these amounts into consideration, the value realized on vesting for the purchased restricted stock awards would be as follows:</w:t>
      </w:r>
    </w:p>
    <w:p>
      <w:pPr>
        <w:spacing w:after="0" w:line="178" w:lineRule="exact"/>
        <w:rPr>
          <w:sz w:val="20"/>
          <w:szCs w:val="20"/>
          <w:color w:val="auto"/>
        </w:rPr>
      </w:pPr>
    </w:p>
    <w:tbl>
      <w:tblPr>
        <w:tblLayout w:type="fixed"/>
        <w:tblInd w:w="1660" w:type="dxa"/>
        <w:tblCellMar>
          <w:top w:w="0" w:type="dxa"/>
          <w:left w:w="0" w:type="dxa"/>
          <w:bottom w:w="0" w:type="dxa"/>
          <w:right w:w="0" w:type="dxa"/>
        </w:tblCellMar>
      </w:tblPr>
      <w:tr>
        <w:trPr>
          <w:trHeight w:val="139"/>
        </w:trPr>
        <w:tc>
          <w:tcPr>
            <w:tcW w:w="3720" w:type="dxa"/>
            <w:vAlign w:val="bottom"/>
            <w:gridSpan w:val="2"/>
            <w:vMerge w:val="restart"/>
          </w:tcPr>
          <w:p>
            <w:pPr>
              <w:spacing w:after="0"/>
              <w:rPr>
                <w:sz w:val="20"/>
                <w:szCs w:val="20"/>
                <w:color w:val="auto"/>
              </w:rPr>
            </w:pPr>
            <w:r>
              <w:rPr>
                <w:rFonts w:ascii="Arial" w:cs="Arial" w:eastAsia="Arial" w:hAnsi="Arial"/>
                <w:sz w:val="12"/>
                <w:szCs w:val="12"/>
                <w:b w:val="1"/>
                <w:bCs w:val="1"/>
                <w:color w:val="1A475F"/>
              </w:rPr>
              <w:t>Name</w:t>
            </w:r>
          </w:p>
        </w:tc>
        <w:tc>
          <w:tcPr>
            <w:tcW w:w="4200" w:type="dxa"/>
            <w:vAlign w:val="bottom"/>
            <w:gridSpan w:val="5"/>
          </w:tcPr>
          <w:p>
            <w:pPr>
              <w:jc w:val="right"/>
              <w:spacing w:after="0"/>
              <w:rPr>
                <w:sz w:val="20"/>
                <w:szCs w:val="20"/>
                <w:color w:val="auto"/>
              </w:rPr>
            </w:pPr>
            <w:r>
              <w:rPr>
                <w:rFonts w:ascii="Arial" w:cs="Arial" w:eastAsia="Arial" w:hAnsi="Arial"/>
                <w:sz w:val="12"/>
                <w:szCs w:val="12"/>
                <w:b w:val="1"/>
                <w:bCs w:val="1"/>
                <w:color w:val="1A475F"/>
              </w:rPr>
              <w:t>Value Realized on Purchase Price Paid upon Value Realized on Vesting</w:t>
            </w:r>
          </w:p>
        </w:tc>
        <w:tc>
          <w:tcPr>
            <w:tcW w:w="0" w:type="dxa"/>
            <w:vAlign w:val="bottom"/>
          </w:tcPr>
          <w:p>
            <w:pPr>
              <w:spacing w:after="0"/>
              <w:rPr>
                <w:sz w:val="1"/>
                <w:szCs w:val="1"/>
                <w:color w:val="auto"/>
              </w:rPr>
            </w:pPr>
          </w:p>
        </w:tc>
      </w:tr>
      <w:tr>
        <w:trPr>
          <w:trHeight w:val="147"/>
        </w:trPr>
        <w:tc>
          <w:tcPr>
            <w:tcW w:w="3720" w:type="dxa"/>
            <w:vAlign w:val="bottom"/>
            <w:gridSpan w:val="2"/>
            <w:vMerge w:val="continue"/>
          </w:tcPr>
          <w:p>
            <w:pPr>
              <w:spacing w:after="0"/>
              <w:rPr>
                <w:sz w:val="12"/>
                <w:szCs w:val="12"/>
                <w:color w:val="auto"/>
              </w:rPr>
            </w:pPr>
          </w:p>
        </w:tc>
        <w:tc>
          <w:tcPr>
            <w:tcW w:w="1100" w:type="dxa"/>
            <w:vAlign w:val="bottom"/>
            <w:gridSpan w:val="2"/>
          </w:tcPr>
          <w:p>
            <w:pPr>
              <w:ind w:left="220"/>
              <w:spacing w:after="0"/>
              <w:rPr>
                <w:sz w:val="20"/>
                <w:szCs w:val="20"/>
                <w:color w:val="auto"/>
              </w:rPr>
            </w:pPr>
            <w:r>
              <w:rPr>
                <w:rFonts w:ascii="Arial" w:cs="Arial" w:eastAsia="Arial" w:hAnsi="Arial"/>
                <w:sz w:val="12"/>
                <w:szCs w:val="12"/>
                <w:b w:val="1"/>
                <w:bCs w:val="1"/>
                <w:color w:val="1A475F"/>
              </w:rPr>
              <w:t>Vesting ($)</w:t>
            </w:r>
          </w:p>
        </w:tc>
        <w:tc>
          <w:tcPr>
            <w:tcW w:w="1600" w:type="dxa"/>
            <w:vAlign w:val="bottom"/>
            <w:gridSpan w:val="2"/>
          </w:tcPr>
          <w:p>
            <w:pPr>
              <w:ind w:left="520"/>
              <w:spacing w:after="0"/>
              <w:rPr>
                <w:sz w:val="20"/>
                <w:szCs w:val="20"/>
                <w:color w:val="auto"/>
              </w:rPr>
            </w:pPr>
            <w:r>
              <w:rPr>
                <w:rFonts w:ascii="Arial" w:cs="Arial" w:eastAsia="Arial" w:hAnsi="Arial"/>
                <w:sz w:val="12"/>
                <w:szCs w:val="12"/>
                <w:b w:val="1"/>
                <w:bCs w:val="1"/>
                <w:color w:val="1A475F"/>
              </w:rPr>
              <w:t>Grant ($)</w:t>
            </w:r>
          </w:p>
        </w:tc>
        <w:tc>
          <w:tcPr>
            <w:tcW w:w="1500" w:type="dxa"/>
            <w:vAlign w:val="bottom"/>
          </w:tcPr>
          <w:p>
            <w:pPr>
              <w:jc w:val="right"/>
              <w:ind w:right="4"/>
              <w:spacing w:after="0"/>
              <w:rPr>
                <w:sz w:val="20"/>
                <w:szCs w:val="20"/>
                <w:color w:val="auto"/>
              </w:rPr>
            </w:pPr>
            <w:r>
              <w:rPr>
                <w:rFonts w:ascii="Arial" w:cs="Arial" w:eastAsia="Arial" w:hAnsi="Arial"/>
                <w:sz w:val="12"/>
                <w:szCs w:val="12"/>
                <w:b w:val="1"/>
                <w:bCs w:val="1"/>
                <w:color w:val="1A475F"/>
              </w:rPr>
              <w:t>after Purchase Price ($)</w:t>
            </w:r>
          </w:p>
        </w:tc>
        <w:tc>
          <w:tcPr>
            <w:tcW w:w="0" w:type="dxa"/>
            <w:vAlign w:val="bottom"/>
          </w:tcPr>
          <w:p>
            <w:pPr>
              <w:spacing w:after="0"/>
              <w:rPr>
                <w:sz w:val="1"/>
                <w:szCs w:val="1"/>
                <w:color w:val="auto"/>
              </w:rPr>
            </w:pPr>
          </w:p>
        </w:tc>
      </w:tr>
      <w:tr>
        <w:trPr>
          <w:trHeight w:val="107"/>
        </w:trPr>
        <w:tc>
          <w:tcPr>
            <w:tcW w:w="360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1A475F"/>
              </w:rPr>
              <w:t>Stephen H. Kramer</w:t>
            </w:r>
          </w:p>
        </w:tc>
        <w:tc>
          <w:tcPr>
            <w:tcW w:w="1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jc w:val="center"/>
              <w:ind w:left="263"/>
              <w:spacing w:after="0" w:line="107" w:lineRule="exact"/>
              <w:rPr>
                <w:sz w:val="20"/>
                <w:szCs w:val="20"/>
                <w:color w:val="auto"/>
              </w:rPr>
            </w:pPr>
            <w:r>
              <w:rPr>
                <w:rFonts w:ascii="Arial" w:cs="Arial" w:eastAsia="Arial" w:hAnsi="Arial"/>
                <w:sz w:val="11"/>
                <w:szCs w:val="11"/>
                <w:color w:val="1A475F"/>
                <w:w w:val="97"/>
              </w:rPr>
              <w:t>2,390,796</w:t>
            </w:r>
          </w:p>
        </w:tc>
        <w:tc>
          <w:tcPr>
            <w:tcW w:w="60" w:type="dxa"/>
            <w:vAlign w:val="bottom"/>
            <w:tcBorders>
              <w:top w:val="single" w:sz="8" w:color="CCEEFF"/>
            </w:tcBorders>
            <w:shd w:val="clear" w:color="auto" w:fill="CCEEFF"/>
          </w:tcPr>
          <w:p>
            <w:pPr>
              <w:spacing w:after="0"/>
              <w:rPr>
                <w:sz w:val="9"/>
                <w:szCs w:val="9"/>
                <w:color w:val="auto"/>
              </w:rPr>
            </w:pPr>
          </w:p>
        </w:tc>
        <w:tc>
          <w:tcPr>
            <w:tcW w:w="1540" w:type="dxa"/>
            <w:vAlign w:val="bottom"/>
            <w:tcBorders>
              <w:top w:val="single" w:sz="8" w:color="auto"/>
            </w:tcBorders>
            <w:shd w:val="clear" w:color="auto" w:fill="CCEEFF"/>
          </w:tcPr>
          <w:p>
            <w:pPr>
              <w:jc w:val="right"/>
              <w:ind w:right="344"/>
              <w:spacing w:after="0" w:line="107" w:lineRule="exact"/>
              <w:rPr>
                <w:sz w:val="20"/>
                <w:szCs w:val="20"/>
                <w:color w:val="auto"/>
              </w:rPr>
            </w:pPr>
            <w:r>
              <w:rPr>
                <w:rFonts w:ascii="Arial" w:cs="Arial" w:eastAsia="Arial" w:hAnsi="Arial"/>
                <w:sz w:val="11"/>
                <w:szCs w:val="11"/>
                <w:color w:val="1A475F"/>
              </w:rPr>
              <w:t>1,210,814</w:t>
            </w:r>
          </w:p>
        </w:tc>
        <w:tc>
          <w:tcPr>
            <w:tcW w:w="6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auto"/>
            </w:tcBorders>
            <w:shd w:val="clear" w:color="auto" w:fill="CCEEFF"/>
          </w:tcPr>
          <w:p>
            <w:pPr>
              <w:jc w:val="right"/>
              <w:ind w:right="304"/>
              <w:spacing w:after="0" w:line="107" w:lineRule="exact"/>
              <w:rPr>
                <w:sz w:val="20"/>
                <w:szCs w:val="20"/>
                <w:color w:val="auto"/>
              </w:rPr>
            </w:pPr>
            <w:r>
              <w:rPr>
                <w:rFonts w:ascii="Arial" w:cs="Arial" w:eastAsia="Arial" w:hAnsi="Arial"/>
                <w:sz w:val="11"/>
                <w:szCs w:val="11"/>
                <w:color w:val="1A475F"/>
              </w:rPr>
              <w:t>1,179,982</w:t>
            </w:r>
          </w:p>
        </w:tc>
        <w:tc>
          <w:tcPr>
            <w:tcW w:w="0" w:type="dxa"/>
            <w:vAlign w:val="bottom"/>
          </w:tcPr>
          <w:p>
            <w:pPr>
              <w:spacing w:after="0"/>
              <w:rPr>
                <w:sz w:val="1"/>
                <w:szCs w:val="1"/>
                <w:color w:val="auto"/>
              </w:rPr>
            </w:pPr>
          </w:p>
        </w:tc>
      </w:tr>
      <w:tr>
        <w:trPr>
          <w:trHeight w:val="116"/>
        </w:trPr>
        <w:tc>
          <w:tcPr>
            <w:tcW w:w="3720" w:type="dxa"/>
            <w:vAlign w:val="bottom"/>
            <w:gridSpan w:val="2"/>
          </w:tcPr>
          <w:p>
            <w:pPr>
              <w:spacing w:after="0" w:line="116" w:lineRule="exact"/>
              <w:rPr>
                <w:sz w:val="20"/>
                <w:szCs w:val="20"/>
                <w:color w:val="auto"/>
              </w:rPr>
            </w:pPr>
            <w:r>
              <w:rPr>
                <w:rFonts w:ascii="Arial" w:cs="Arial" w:eastAsia="Arial" w:hAnsi="Arial"/>
                <w:sz w:val="11"/>
                <w:szCs w:val="11"/>
                <w:color w:val="1A475F"/>
              </w:rPr>
              <w:t>Elizabeth J. Boland</w:t>
            </w:r>
          </w:p>
        </w:tc>
        <w:tc>
          <w:tcPr>
            <w:tcW w:w="1040" w:type="dxa"/>
            <w:vAlign w:val="bottom"/>
          </w:tcPr>
          <w:p>
            <w:pPr>
              <w:jc w:val="center"/>
              <w:ind w:left="263"/>
              <w:spacing w:after="0" w:line="116" w:lineRule="exact"/>
              <w:rPr>
                <w:sz w:val="20"/>
                <w:szCs w:val="20"/>
                <w:color w:val="auto"/>
              </w:rPr>
            </w:pPr>
            <w:r>
              <w:rPr>
                <w:rFonts w:ascii="Arial" w:cs="Arial" w:eastAsia="Arial" w:hAnsi="Arial"/>
                <w:sz w:val="11"/>
                <w:szCs w:val="11"/>
                <w:color w:val="1A475F"/>
                <w:w w:val="97"/>
              </w:rPr>
              <w:t>1,286,960</w:t>
            </w:r>
          </w:p>
        </w:tc>
        <w:tc>
          <w:tcPr>
            <w:tcW w:w="60" w:type="dxa"/>
            <w:vAlign w:val="bottom"/>
          </w:tcPr>
          <w:p>
            <w:pPr>
              <w:spacing w:after="0"/>
              <w:rPr>
                <w:sz w:val="10"/>
                <w:szCs w:val="10"/>
                <w:color w:val="auto"/>
              </w:rPr>
            </w:pPr>
          </w:p>
        </w:tc>
        <w:tc>
          <w:tcPr>
            <w:tcW w:w="1540" w:type="dxa"/>
            <w:vAlign w:val="bottom"/>
          </w:tcPr>
          <w:p>
            <w:pPr>
              <w:jc w:val="right"/>
              <w:ind w:right="344"/>
              <w:spacing w:after="0" w:line="116" w:lineRule="exact"/>
              <w:rPr>
                <w:sz w:val="20"/>
                <w:szCs w:val="20"/>
                <w:color w:val="auto"/>
              </w:rPr>
            </w:pPr>
            <w:r>
              <w:rPr>
                <w:rFonts w:ascii="Arial" w:cs="Arial" w:eastAsia="Arial" w:hAnsi="Arial"/>
                <w:sz w:val="11"/>
                <w:szCs w:val="11"/>
                <w:color w:val="1A475F"/>
              </w:rPr>
              <w:t>651,779</w:t>
            </w:r>
          </w:p>
        </w:tc>
        <w:tc>
          <w:tcPr>
            <w:tcW w:w="60" w:type="dxa"/>
            <w:vAlign w:val="bottom"/>
          </w:tcPr>
          <w:p>
            <w:pPr>
              <w:spacing w:after="0"/>
              <w:rPr>
                <w:sz w:val="10"/>
                <w:szCs w:val="10"/>
                <w:color w:val="auto"/>
              </w:rPr>
            </w:pPr>
          </w:p>
        </w:tc>
        <w:tc>
          <w:tcPr>
            <w:tcW w:w="1500" w:type="dxa"/>
            <w:vAlign w:val="bottom"/>
          </w:tcPr>
          <w:p>
            <w:pPr>
              <w:jc w:val="right"/>
              <w:ind w:right="304"/>
              <w:spacing w:after="0" w:line="116" w:lineRule="exact"/>
              <w:rPr>
                <w:sz w:val="20"/>
                <w:szCs w:val="20"/>
                <w:color w:val="auto"/>
              </w:rPr>
            </w:pPr>
            <w:r>
              <w:rPr>
                <w:rFonts w:ascii="Arial" w:cs="Arial" w:eastAsia="Arial" w:hAnsi="Arial"/>
                <w:sz w:val="11"/>
                <w:szCs w:val="11"/>
                <w:color w:val="1A475F"/>
              </w:rPr>
              <w:t>635,181</w:t>
            </w:r>
          </w:p>
        </w:tc>
        <w:tc>
          <w:tcPr>
            <w:tcW w:w="0" w:type="dxa"/>
            <w:vAlign w:val="bottom"/>
          </w:tcPr>
          <w:p>
            <w:pPr>
              <w:spacing w:after="0"/>
              <w:rPr>
                <w:sz w:val="1"/>
                <w:szCs w:val="1"/>
                <w:color w:val="auto"/>
              </w:rPr>
            </w:pPr>
          </w:p>
        </w:tc>
      </w:tr>
      <w:tr>
        <w:trPr>
          <w:trHeight w:val="116"/>
        </w:trPr>
        <w:tc>
          <w:tcPr>
            <w:tcW w:w="372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1A475F"/>
              </w:rPr>
              <w:t>Mary Lou Burke Afonso</w:t>
            </w:r>
          </w:p>
        </w:tc>
        <w:tc>
          <w:tcPr>
            <w:tcW w:w="1100" w:type="dxa"/>
            <w:vAlign w:val="bottom"/>
            <w:gridSpan w:val="2"/>
            <w:shd w:val="clear" w:color="auto" w:fill="CCEEFF"/>
          </w:tcPr>
          <w:p>
            <w:pPr>
              <w:jc w:val="center"/>
              <w:ind w:left="223"/>
              <w:spacing w:after="0" w:line="116" w:lineRule="exact"/>
              <w:rPr>
                <w:sz w:val="20"/>
                <w:szCs w:val="20"/>
                <w:color w:val="auto"/>
              </w:rPr>
            </w:pPr>
            <w:r>
              <w:rPr>
                <w:rFonts w:ascii="Arial" w:cs="Arial" w:eastAsia="Arial" w:hAnsi="Arial"/>
                <w:sz w:val="11"/>
                <w:szCs w:val="11"/>
                <w:color w:val="1A475F"/>
                <w:w w:val="90"/>
              </w:rPr>
              <w:t>   524,576</w:t>
            </w:r>
          </w:p>
        </w:tc>
        <w:tc>
          <w:tcPr>
            <w:tcW w:w="1600" w:type="dxa"/>
            <w:vAlign w:val="bottom"/>
            <w:gridSpan w:val="2"/>
            <w:shd w:val="clear" w:color="auto" w:fill="CCEEFF"/>
          </w:tcPr>
          <w:p>
            <w:pPr>
              <w:jc w:val="right"/>
              <w:ind w:right="460"/>
              <w:spacing w:after="0" w:line="116" w:lineRule="exact"/>
              <w:rPr>
                <w:sz w:val="20"/>
                <w:szCs w:val="20"/>
                <w:color w:val="auto"/>
              </w:rPr>
            </w:pPr>
            <w:r>
              <w:rPr>
                <w:rFonts w:ascii="Arial" w:cs="Arial" w:eastAsia="Arial" w:hAnsi="Arial"/>
                <w:sz w:val="11"/>
                <w:szCs w:val="11"/>
                <w:color w:val="1A475F"/>
              </w:rPr>
              <w:t>   265,671</w:t>
            </w:r>
          </w:p>
        </w:tc>
        <w:tc>
          <w:tcPr>
            <w:tcW w:w="1500" w:type="dxa"/>
            <w:vAlign w:val="bottom"/>
            <w:shd w:val="clear" w:color="auto" w:fill="CCEEFF"/>
          </w:tcPr>
          <w:p>
            <w:pPr>
              <w:jc w:val="right"/>
              <w:ind w:right="304"/>
              <w:spacing w:after="0" w:line="116" w:lineRule="exact"/>
              <w:rPr>
                <w:sz w:val="20"/>
                <w:szCs w:val="20"/>
                <w:color w:val="auto"/>
              </w:rPr>
            </w:pPr>
            <w:r>
              <w:rPr>
                <w:rFonts w:ascii="Arial" w:cs="Arial" w:eastAsia="Arial" w:hAnsi="Arial"/>
                <w:sz w:val="11"/>
                <w:szCs w:val="11"/>
                <w:color w:val="1A475F"/>
              </w:rPr>
              <w:t>258,905</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280" w:hanging="379"/>
        <w:spacing w:after="0"/>
        <w:tabs>
          <w:tab w:leader="none" w:pos="1280" w:val="left"/>
        </w:tabs>
        <w:numPr>
          <w:ilvl w:val="0"/>
          <w:numId w:val="67"/>
        </w:numPr>
        <w:rPr>
          <w:rFonts w:ascii="Arial" w:cs="Arial" w:eastAsia="Arial" w:hAnsi="Arial"/>
          <w:sz w:val="12"/>
          <w:szCs w:val="12"/>
          <w:color w:val="1A475F"/>
        </w:rPr>
      </w:pPr>
      <w:r>
        <w:rPr>
          <w:rFonts w:ascii="Arial" w:cs="Arial" w:eastAsia="Arial" w:hAnsi="Arial"/>
          <w:sz w:val="12"/>
          <w:szCs w:val="12"/>
          <w:color w:val="1A475F"/>
        </w:rPr>
        <w:t>Represents the fair market value of the underlying shares of RSUs as of the vesting date multiplied by the number of shares that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137795</wp:posOffset>
            </wp:positionV>
            <wp:extent cx="5997575" cy="183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Nonqualified Deferred Compensation</w:t>
      </w:r>
    </w:p>
    <w:p>
      <w:pPr>
        <w:spacing w:after="0" w:line="154" w:lineRule="exact"/>
        <w:rPr>
          <w:sz w:val="20"/>
          <w:szCs w:val="20"/>
          <w:color w:val="auto"/>
        </w:rPr>
      </w:pPr>
    </w:p>
    <w:p>
      <w:pPr>
        <w:ind w:left="900" w:right="160" w:firstLine="756"/>
        <w:spacing w:after="0" w:line="261" w:lineRule="auto"/>
        <w:rPr>
          <w:sz w:val="20"/>
          <w:szCs w:val="20"/>
          <w:color w:val="auto"/>
        </w:rPr>
      </w:pPr>
      <w:r>
        <w:rPr>
          <w:rFonts w:ascii="Arial" w:cs="Arial" w:eastAsia="Arial" w:hAnsi="Arial"/>
          <w:sz w:val="15"/>
          <w:szCs w:val="15"/>
          <w:color w:val="1A475F"/>
        </w:rPr>
        <w:t>The following table sets forth certain information with respect to the NQDC Plan as of December 31, 2025 for our NEOs who elected to participate in the plan. The NQDC Plan is a U.S. based plan and, as a U.K. employee, Ms. Marshall does not participate in the NQDC Plan.</w:t>
      </w:r>
    </w:p>
    <w:p>
      <w:pPr>
        <w:spacing w:after="0" w:line="169"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1A475F"/>
                <w:w w:val="98"/>
              </w:rPr>
              <w:t>Aggregate</w:t>
            </w:r>
          </w:p>
        </w:tc>
        <w:tc>
          <w:tcPr>
            <w:tcW w:w="1300" w:type="dxa"/>
            <w:vAlign w:val="bottom"/>
          </w:tcPr>
          <w:p>
            <w:pPr>
              <w:ind w:left="300"/>
              <w:spacing w:after="0"/>
              <w:rPr>
                <w:sz w:val="20"/>
                <w:szCs w:val="20"/>
                <w:color w:val="auto"/>
              </w:rPr>
            </w:pPr>
            <w:r>
              <w:rPr>
                <w:rFonts w:ascii="Arial" w:cs="Arial" w:eastAsia="Arial" w:hAnsi="Arial"/>
                <w:sz w:val="14"/>
                <w:szCs w:val="14"/>
                <w:b w:val="1"/>
                <w:bCs w:val="1"/>
                <w:color w:val="1A475F"/>
              </w:rPr>
              <w:t>Aggregate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A475F"/>
                <w:w w:val="97"/>
              </w:rPr>
              <w:t>Executive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A475F"/>
              </w:rPr>
              <w:t>Company</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1A475F"/>
                <w:w w:val="98"/>
              </w:rPr>
              <w:t>Aggregate</w:t>
            </w: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1A475F"/>
                <w:w w:val="97"/>
              </w:rPr>
              <w:t>Withdrawals/</w:t>
            </w:r>
          </w:p>
        </w:tc>
        <w:tc>
          <w:tcPr>
            <w:tcW w:w="1300" w:type="dxa"/>
            <w:vAlign w:val="bottom"/>
          </w:tcPr>
          <w:p>
            <w:pPr>
              <w:ind w:left="300"/>
              <w:spacing w:after="0"/>
              <w:rPr>
                <w:sz w:val="20"/>
                <w:szCs w:val="20"/>
                <w:color w:val="auto"/>
              </w:rPr>
            </w:pPr>
            <w:r>
              <w:rPr>
                <w:rFonts w:ascii="Arial" w:cs="Arial" w:eastAsia="Arial" w:hAnsi="Arial"/>
                <w:sz w:val="14"/>
                <w:szCs w:val="14"/>
                <w:b w:val="1"/>
                <w:bCs w:val="1"/>
                <w:color w:val="1A475F"/>
              </w:rPr>
              <w:t>Balance at</w:t>
            </w:r>
          </w:p>
        </w:tc>
        <w:tc>
          <w:tcPr>
            <w:tcW w:w="0" w:type="dxa"/>
            <w:vAlign w:val="bottom"/>
          </w:tcPr>
          <w:p>
            <w:pPr>
              <w:spacing w:after="0"/>
              <w:rPr>
                <w:sz w:val="1"/>
                <w:szCs w:val="1"/>
                <w:color w:val="auto"/>
              </w:rPr>
            </w:pPr>
          </w:p>
        </w:tc>
      </w:tr>
      <w:tr>
        <w:trPr>
          <w:trHeight w:val="162"/>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1A475F"/>
              </w:rPr>
              <w:t>Name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A475F"/>
              </w:rPr>
              <w:t>Contributions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1A475F"/>
                <w:w w:val="98"/>
              </w:rPr>
              <w:t>Contributions</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1A475F"/>
              </w:rPr>
              <w:t>Earnings</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A475F"/>
                <w:w w:val="99"/>
              </w:rPr>
              <w:t>Distributions</w:t>
            </w:r>
          </w:p>
        </w:tc>
        <w:tc>
          <w:tcPr>
            <w:tcW w:w="1300" w:type="dxa"/>
            <w:vAlign w:val="bottom"/>
          </w:tcPr>
          <w:p>
            <w:pPr>
              <w:jc w:val="right"/>
              <w:ind w:right="226"/>
              <w:spacing w:after="0"/>
              <w:rPr>
                <w:sz w:val="20"/>
                <w:szCs w:val="20"/>
                <w:color w:val="auto"/>
              </w:rPr>
            </w:pPr>
            <w:r>
              <w:rPr>
                <w:rFonts w:ascii="Arial" w:cs="Arial" w:eastAsia="Arial" w:hAnsi="Arial"/>
                <w:sz w:val="14"/>
                <w:szCs w:val="14"/>
                <w:b w:val="1"/>
                <w:bCs w:val="1"/>
                <w:color w:val="1A475F"/>
              </w:rPr>
              <w:t>12/31/2025</w:t>
            </w:r>
          </w:p>
        </w:tc>
        <w:tc>
          <w:tcPr>
            <w:tcW w:w="0" w:type="dxa"/>
            <w:vAlign w:val="bottom"/>
          </w:tcPr>
          <w:p>
            <w:pPr>
              <w:spacing w:after="0"/>
              <w:rPr>
                <w:sz w:val="1"/>
                <w:szCs w:val="1"/>
                <w:color w:val="auto"/>
              </w:rPr>
            </w:pPr>
          </w:p>
        </w:tc>
      </w:tr>
      <w:tr>
        <w:trPr>
          <w:trHeight w:val="174"/>
        </w:trPr>
        <w:tc>
          <w:tcPr>
            <w:tcW w:w="2420" w:type="dxa"/>
            <w:vAlign w:val="bottom"/>
            <w:gridSpan w:val="2"/>
            <w:vMerge w:val="continue"/>
          </w:tcPr>
          <w:p>
            <w:pPr>
              <w:spacing w:after="0"/>
              <w:rPr>
                <w:sz w:val="15"/>
                <w:szCs w:val="15"/>
                <w:color w:val="auto"/>
              </w:rPr>
            </w:pPr>
          </w:p>
        </w:tc>
        <w:tc>
          <w:tcPr>
            <w:tcW w:w="1480" w:type="dxa"/>
            <w:vAlign w:val="bottom"/>
          </w:tcPr>
          <w:p>
            <w:pPr>
              <w:jc w:val="center"/>
              <w:spacing w:after="0" w:line="175" w:lineRule="exact"/>
              <w:rPr>
                <w:sz w:val="20"/>
                <w:szCs w:val="20"/>
                <w:color w:val="auto"/>
              </w:rPr>
            </w:pPr>
            <w:r>
              <w:rPr>
                <w:rFonts w:ascii="Arial" w:cs="Arial" w:eastAsia="Arial" w:hAnsi="Arial"/>
                <w:sz w:val="14"/>
                <w:szCs w:val="14"/>
                <w:b w:val="1"/>
                <w:bCs w:val="1"/>
                <w:color w:val="1A475F"/>
                <w:w w:val="89"/>
              </w:rPr>
              <w:t>($)</w:t>
            </w:r>
            <w:r>
              <w:rPr>
                <w:rFonts w:ascii="Arial" w:cs="Arial" w:eastAsia="Arial" w:hAnsi="Arial"/>
                <w:sz w:val="20"/>
                <w:szCs w:val="20"/>
                <w:b w:val="1"/>
                <w:bCs w:val="1"/>
                <w:color w:val="1A475F"/>
                <w:w w:val="89"/>
                <w:vertAlign w:val="superscript"/>
              </w:rPr>
              <w:t>(1)</w:t>
            </w:r>
          </w:p>
        </w:tc>
        <w:tc>
          <w:tcPr>
            <w:tcW w:w="100" w:type="dxa"/>
            <w:vAlign w:val="bottom"/>
          </w:tcPr>
          <w:p>
            <w:pPr>
              <w:spacing w:after="0"/>
              <w:rPr>
                <w:sz w:val="15"/>
                <w:szCs w:val="15"/>
                <w:color w:val="auto"/>
              </w:rPr>
            </w:pPr>
          </w:p>
        </w:tc>
        <w:tc>
          <w:tcPr>
            <w:tcW w:w="1320" w:type="dxa"/>
            <w:vAlign w:val="bottom"/>
          </w:tcPr>
          <w:p>
            <w:pPr>
              <w:jc w:val="center"/>
              <w:spacing w:after="0" w:line="175" w:lineRule="exact"/>
              <w:rPr>
                <w:sz w:val="20"/>
                <w:szCs w:val="20"/>
                <w:color w:val="auto"/>
              </w:rPr>
            </w:pPr>
            <w:r>
              <w:rPr>
                <w:rFonts w:ascii="Arial" w:cs="Arial" w:eastAsia="Arial" w:hAnsi="Arial"/>
                <w:sz w:val="14"/>
                <w:szCs w:val="14"/>
                <w:b w:val="1"/>
                <w:bCs w:val="1"/>
                <w:color w:val="1A475F"/>
                <w:w w:val="89"/>
              </w:rPr>
              <w:t>($)</w:t>
            </w:r>
            <w:r>
              <w:rPr>
                <w:rFonts w:ascii="Arial" w:cs="Arial" w:eastAsia="Arial" w:hAnsi="Arial"/>
                <w:sz w:val="20"/>
                <w:szCs w:val="20"/>
                <w:b w:val="1"/>
                <w:bCs w:val="1"/>
                <w:color w:val="1A475F"/>
                <w:w w:val="89"/>
                <w:vertAlign w:val="superscript"/>
              </w:rPr>
              <w:t>(1)</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1A475F"/>
                <w:w w:val="93"/>
              </w:rPr>
              <w:t>($)</w:t>
            </w:r>
          </w:p>
        </w:tc>
        <w:tc>
          <w:tcPr>
            <w:tcW w:w="100" w:type="dxa"/>
            <w:vAlign w:val="bottom"/>
          </w:tcPr>
          <w:p>
            <w:pPr>
              <w:spacing w:after="0"/>
              <w:rPr>
                <w:sz w:val="15"/>
                <w:szCs w:val="15"/>
                <w:color w:val="auto"/>
              </w:rPr>
            </w:pPr>
          </w:p>
        </w:tc>
        <w:tc>
          <w:tcPr>
            <w:tcW w:w="1400" w:type="dxa"/>
            <w:vAlign w:val="bottom"/>
          </w:tcPr>
          <w:p>
            <w:pPr>
              <w:jc w:val="right"/>
              <w:ind w:right="546"/>
              <w:spacing w:after="0"/>
              <w:rPr>
                <w:sz w:val="20"/>
                <w:szCs w:val="20"/>
                <w:color w:val="auto"/>
              </w:rPr>
            </w:pPr>
            <w:r>
              <w:rPr>
                <w:rFonts w:ascii="Arial" w:cs="Arial" w:eastAsia="Arial" w:hAnsi="Arial"/>
                <w:sz w:val="14"/>
                <w:szCs w:val="14"/>
                <w:b w:val="1"/>
                <w:bCs w:val="1"/>
                <w:color w:val="1A475F"/>
              </w:rPr>
              <w:t>($)</w:t>
            </w:r>
          </w:p>
        </w:tc>
        <w:tc>
          <w:tcPr>
            <w:tcW w:w="60" w:type="dxa"/>
            <w:vAlign w:val="bottom"/>
          </w:tcPr>
          <w:p>
            <w:pPr>
              <w:spacing w:after="0"/>
              <w:rPr>
                <w:sz w:val="15"/>
                <w:szCs w:val="15"/>
                <w:color w:val="auto"/>
              </w:rPr>
            </w:pPr>
          </w:p>
        </w:tc>
        <w:tc>
          <w:tcPr>
            <w:tcW w:w="1300" w:type="dxa"/>
            <w:vAlign w:val="bottom"/>
          </w:tcPr>
          <w:p>
            <w:pPr>
              <w:jc w:val="center"/>
              <w:ind w:right="406"/>
              <w:spacing w:after="0" w:line="175" w:lineRule="exact"/>
              <w:rPr>
                <w:sz w:val="20"/>
                <w:szCs w:val="20"/>
                <w:color w:val="auto"/>
              </w:rPr>
            </w:pPr>
            <w:r>
              <w:rPr>
                <w:rFonts w:ascii="Arial" w:cs="Arial" w:eastAsia="Arial" w:hAnsi="Arial"/>
                <w:sz w:val="14"/>
                <w:szCs w:val="14"/>
                <w:b w:val="1"/>
                <w:bCs w:val="1"/>
                <w:color w:val="1A475F"/>
              </w:rPr>
              <w:t>($)</w:t>
            </w:r>
            <w:r>
              <w:rPr>
                <w:rFonts w:ascii="Arial" w:cs="Arial" w:eastAsia="Arial" w:hAnsi="Arial"/>
                <w:sz w:val="20"/>
                <w:szCs w:val="20"/>
                <w:b w:val="1"/>
                <w:bCs w:val="1"/>
                <w:color w:val="1A475F"/>
                <w:vertAlign w:val="superscript"/>
              </w:rPr>
              <w:t>(2)</w:t>
            </w:r>
          </w:p>
        </w:tc>
        <w:tc>
          <w:tcPr>
            <w:tcW w:w="0" w:type="dxa"/>
            <w:vAlign w:val="bottom"/>
          </w:tcPr>
          <w:p>
            <w:pPr>
              <w:spacing w:after="0"/>
              <w:rPr>
                <w:sz w:val="1"/>
                <w:szCs w:val="1"/>
                <w:color w:val="auto"/>
              </w:rPr>
            </w:pPr>
          </w:p>
        </w:tc>
      </w:tr>
      <w:tr>
        <w:trPr>
          <w:trHeight w:val="165"/>
        </w:trPr>
        <w:tc>
          <w:tcPr>
            <w:tcW w:w="232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color w:val="1A475F"/>
              </w:rPr>
              <w:t>Stephen H. Kramer</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20,959</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2,500</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5"/>
                <w:szCs w:val="15"/>
                <w:color w:val="1A475F"/>
              </w:rPr>
              <w:t>26,857</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ind w:right="286"/>
              <w:spacing w:after="0" w:line="165" w:lineRule="exact"/>
              <w:rPr>
                <w:sz w:val="20"/>
                <w:szCs w:val="20"/>
                <w:color w:val="auto"/>
              </w:rPr>
            </w:pPr>
            <w:r>
              <w:rPr>
                <w:rFonts w:ascii="Arial" w:cs="Arial" w:eastAsia="Arial" w:hAnsi="Arial"/>
                <w:sz w:val="15"/>
                <w:szCs w:val="15"/>
                <w:color w:val="1A475F"/>
              </w:rPr>
              <w:t>(22,240)</w:t>
            </w:r>
          </w:p>
        </w:tc>
        <w:tc>
          <w:tcPr>
            <w:tcW w:w="6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266"/>
              <w:spacing w:after="0" w:line="165" w:lineRule="exact"/>
              <w:rPr>
                <w:sz w:val="20"/>
                <w:szCs w:val="20"/>
                <w:color w:val="auto"/>
              </w:rPr>
            </w:pPr>
            <w:r>
              <w:rPr>
                <w:rFonts w:ascii="Arial" w:cs="Arial" w:eastAsia="Arial" w:hAnsi="Arial"/>
                <w:sz w:val="15"/>
                <w:szCs w:val="15"/>
                <w:color w:val="1A475F"/>
              </w:rPr>
              <w:t>183,902</w:t>
            </w:r>
          </w:p>
        </w:tc>
        <w:tc>
          <w:tcPr>
            <w:tcW w:w="0" w:type="dxa"/>
            <w:vAlign w:val="bottom"/>
          </w:tcPr>
          <w:p>
            <w:pPr>
              <w:spacing w:after="0"/>
              <w:rPr>
                <w:sz w:val="1"/>
                <w:szCs w:val="1"/>
                <w:color w:val="auto"/>
              </w:rPr>
            </w:pPr>
          </w:p>
        </w:tc>
      </w:tr>
      <w:tr>
        <w:trPr>
          <w:trHeight w:val="174"/>
        </w:trPr>
        <w:tc>
          <w:tcPr>
            <w:tcW w:w="2420" w:type="dxa"/>
            <w:vAlign w:val="bottom"/>
            <w:gridSpan w:val="2"/>
          </w:tcPr>
          <w:p>
            <w:pPr>
              <w:spacing w:after="0"/>
              <w:rPr>
                <w:sz w:val="20"/>
                <w:szCs w:val="20"/>
                <w:color w:val="auto"/>
              </w:rPr>
            </w:pPr>
            <w:r>
              <w:rPr>
                <w:rFonts w:ascii="Arial" w:cs="Arial" w:eastAsia="Arial" w:hAnsi="Arial"/>
                <w:sz w:val="15"/>
                <w:szCs w:val="15"/>
                <w:color w:val="1A475F"/>
              </w:rPr>
              <w:t>Elizabeth J. Boland</w:t>
            </w:r>
          </w:p>
        </w:tc>
        <w:tc>
          <w:tcPr>
            <w:tcW w:w="1580" w:type="dxa"/>
            <w:vAlign w:val="bottom"/>
            <w:gridSpan w:val="2"/>
          </w:tcPr>
          <w:p>
            <w:pPr>
              <w:jc w:val="center"/>
              <w:ind w:right="60"/>
              <w:spacing w:after="0"/>
              <w:rPr>
                <w:sz w:val="20"/>
                <w:szCs w:val="20"/>
                <w:color w:val="auto"/>
              </w:rPr>
            </w:pPr>
            <w:r>
              <w:rPr>
                <w:rFonts w:ascii="Arial" w:cs="Arial" w:eastAsia="Arial" w:hAnsi="Arial"/>
                <w:sz w:val="15"/>
                <w:szCs w:val="15"/>
                <w:color w:val="1A475F"/>
              </w:rPr>
              <w:t>—</w:t>
            </w:r>
          </w:p>
        </w:tc>
        <w:tc>
          <w:tcPr>
            <w:tcW w:w="1420" w:type="dxa"/>
            <w:vAlign w:val="bottom"/>
            <w:gridSpan w:val="2"/>
          </w:tcPr>
          <w:p>
            <w:pPr>
              <w:jc w:val="center"/>
              <w:ind w:right="60"/>
              <w:spacing w:after="0"/>
              <w:rPr>
                <w:sz w:val="20"/>
                <w:szCs w:val="20"/>
                <w:color w:val="auto"/>
              </w:rPr>
            </w:pPr>
            <w:r>
              <w:rPr>
                <w:rFonts w:ascii="Arial" w:cs="Arial" w:eastAsia="Arial" w:hAnsi="Arial"/>
                <w:sz w:val="15"/>
                <w:szCs w:val="15"/>
                <w:color w:val="1A475F"/>
              </w:rPr>
              <w:t>—</w:t>
            </w:r>
          </w:p>
        </w:tc>
        <w:tc>
          <w:tcPr>
            <w:tcW w:w="1180" w:type="dxa"/>
            <w:vAlign w:val="bottom"/>
          </w:tcPr>
          <w:p>
            <w:pPr>
              <w:jc w:val="center"/>
              <w:spacing w:after="0"/>
              <w:rPr>
                <w:sz w:val="20"/>
                <w:szCs w:val="20"/>
                <w:color w:val="auto"/>
              </w:rPr>
            </w:pPr>
            <w:r>
              <w:rPr>
                <w:rFonts w:ascii="Arial" w:cs="Arial" w:eastAsia="Arial" w:hAnsi="Arial"/>
                <w:sz w:val="15"/>
                <w:szCs w:val="15"/>
                <w:color w:val="1A475F"/>
              </w:rPr>
              <w:t>10,909</w:t>
            </w:r>
          </w:p>
        </w:tc>
        <w:tc>
          <w:tcPr>
            <w:tcW w:w="100" w:type="dxa"/>
            <w:vAlign w:val="bottom"/>
          </w:tcPr>
          <w:p>
            <w:pPr>
              <w:spacing w:after="0"/>
              <w:rPr>
                <w:sz w:val="15"/>
                <w:szCs w:val="15"/>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5"/>
                <w:szCs w:val="15"/>
                <w:color w:val="1A475F"/>
              </w:rPr>
              <w:t>—</w:t>
            </w:r>
          </w:p>
        </w:tc>
        <w:tc>
          <w:tcPr>
            <w:tcW w:w="1300" w:type="dxa"/>
            <w:vAlign w:val="bottom"/>
          </w:tcPr>
          <w:p>
            <w:pPr>
              <w:jc w:val="right"/>
              <w:ind w:right="266"/>
              <w:spacing w:after="0"/>
              <w:rPr>
                <w:sz w:val="20"/>
                <w:szCs w:val="20"/>
                <w:color w:val="auto"/>
              </w:rPr>
            </w:pPr>
            <w:r>
              <w:rPr>
                <w:rFonts w:ascii="Arial" w:cs="Arial" w:eastAsia="Arial" w:hAnsi="Arial"/>
                <w:sz w:val="15"/>
                <w:szCs w:val="15"/>
                <w:color w:val="1A475F"/>
              </w:rPr>
              <w:t>197,318</w:t>
            </w:r>
          </w:p>
        </w:tc>
        <w:tc>
          <w:tcPr>
            <w:tcW w:w="0" w:type="dxa"/>
            <w:vAlign w:val="bottom"/>
          </w:tcPr>
          <w:p>
            <w:pPr>
              <w:spacing w:after="0"/>
              <w:rPr>
                <w:sz w:val="1"/>
                <w:szCs w:val="1"/>
                <w:color w:val="auto"/>
              </w:rPr>
            </w:pPr>
          </w:p>
        </w:tc>
      </w:tr>
      <w:tr>
        <w:trPr>
          <w:trHeight w:val="174"/>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1A475F"/>
              </w:rPr>
              <w:t>Mary Lou Burke Afonso</w:t>
            </w: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1A475F"/>
              </w:rPr>
              <w:t>188,688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1A475F"/>
              </w:rPr>
              <w:t>2,500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5"/>
                <w:szCs w:val="15"/>
                <w:color w:val="1A475F"/>
              </w:rPr>
              <w:t>46,354</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1A475F"/>
              </w:rPr>
              <w:t>—</w:t>
            </w:r>
          </w:p>
        </w:tc>
        <w:tc>
          <w:tcPr>
            <w:tcW w:w="130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1A475F"/>
              </w:rPr>
              <w:t>384,939</w:t>
            </w:r>
          </w:p>
        </w:tc>
        <w:tc>
          <w:tcPr>
            <w:tcW w:w="0" w:type="dxa"/>
            <w:vAlign w:val="bottom"/>
          </w:tcPr>
          <w:p>
            <w:pPr>
              <w:spacing w:after="0"/>
              <w:rPr>
                <w:sz w:val="1"/>
                <w:szCs w:val="1"/>
                <w:color w:val="auto"/>
              </w:rPr>
            </w:pPr>
          </w:p>
        </w:tc>
      </w:tr>
      <w:tr>
        <w:trPr>
          <w:trHeight w:val="174"/>
        </w:trPr>
        <w:tc>
          <w:tcPr>
            <w:tcW w:w="2420" w:type="dxa"/>
            <w:vAlign w:val="bottom"/>
            <w:gridSpan w:val="2"/>
          </w:tcPr>
          <w:p>
            <w:pPr>
              <w:spacing w:after="0"/>
              <w:rPr>
                <w:sz w:val="20"/>
                <w:szCs w:val="20"/>
                <w:color w:val="auto"/>
              </w:rPr>
            </w:pPr>
            <w:r>
              <w:rPr>
                <w:rFonts w:ascii="Arial" w:cs="Arial" w:eastAsia="Arial" w:hAnsi="Arial"/>
                <w:sz w:val="15"/>
                <w:szCs w:val="15"/>
                <w:color w:val="1A475F"/>
              </w:rPr>
              <w:t>Mandy Berman</w:t>
            </w:r>
          </w:p>
        </w:tc>
        <w:tc>
          <w:tcPr>
            <w:tcW w:w="1480" w:type="dxa"/>
            <w:vAlign w:val="bottom"/>
          </w:tcPr>
          <w:p>
            <w:pPr>
              <w:jc w:val="center"/>
              <w:spacing w:after="0"/>
              <w:rPr>
                <w:sz w:val="20"/>
                <w:szCs w:val="20"/>
                <w:color w:val="auto"/>
              </w:rPr>
            </w:pPr>
            <w:r>
              <w:rPr>
                <w:rFonts w:ascii="Arial" w:cs="Arial" w:eastAsia="Arial" w:hAnsi="Arial"/>
                <w:sz w:val="15"/>
                <w:szCs w:val="15"/>
                <w:color w:val="1A475F"/>
              </w:rPr>
              <w:t>207,000</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1A475F"/>
              </w:rPr>
              <w:t>2,500</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1A475F"/>
              </w:rPr>
              <w:t>55,782</w:t>
            </w:r>
          </w:p>
        </w:tc>
        <w:tc>
          <w:tcPr>
            <w:tcW w:w="100" w:type="dxa"/>
            <w:vAlign w:val="bottom"/>
          </w:tcPr>
          <w:p>
            <w:pPr>
              <w:spacing w:after="0"/>
              <w:rPr>
                <w:sz w:val="15"/>
                <w:szCs w:val="15"/>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5"/>
                <w:szCs w:val="15"/>
                <w:color w:val="1A475F"/>
              </w:rPr>
              <w:t>—</w:t>
            </w:r>
          </w:p>
        </w:tc>
        <w:tc>
          <w:tcPr>
            <w:tcW w:w="1300" w:type="dxa"/>
            <w:vAlign w:val="bottom"/>
          </w:tcPr>
          <w:p>
            <w:pPr>
              <w:jc w:val="right"/>
              <w:ind w:right="286"/>
              <w:spacing w:after="0"/>
              <w:rPr>
                <w:sz w:val="20"/>
                <w:szCs w:val="20"/>
                <w:color w:val="auto"/>
              </w:rPr>
            </w:pPr>
            <w:r>
              <w:rPr>
                <w:rFonts w:ascii="Arial" w:cs="Arial" w:eastAsia="Arial" w:hAnsi="Arial"/>
                <w:sz w:val="15"/>
                <w:szCs w:val="15"/>
                <w:color w:val="1A475F"/>
              </w:rPr>
              <w:t>431,250</w:t>
            </w:r>
          </w:p>
        </w:tc>
        <w:tc>
          <w:tcPr>
            <w:tcW w:w="0" w:type="dxa"/>
            <w:vAlign w:val="bottom"/>
          </w:tcPr>
          <w:p>
            <w:pPr>
              <w:spacing w:after="0"/>
              <w:rPr>
                <w:sz w:val="1"/>
                <w:szCs w:val="1"/>
                <w:color w:val="auto"/>
              </w:rPr>
            </w:pPr>
          </w:p>
        </w:tc>
      </w:tr>
      <w:tr>
        <w:trPr>
          <w:trHeight w:val="174"/>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1A475F"/>
              </w:rPr>
              <w:t>Rosamund Marshall</w:t>
            </w: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1A475F"/>
              </w:rPr>
              <w:t>—</w:t>
            </w:r>
          </w:p>
        </w:tc>
        <w:tc>
          <w:tcPr>
            <w:tcW w:w="142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1A475F"/>
              </w:rPr>
              <w:t>—</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1A475F"/>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1A475F"/>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5"/>
                <w:szCs w:val="15"/>
                <w:color w:val="1A475F"/>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80645</wp:posOffset>
            </wp:positionV>
            <wp:extent cx="65405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4" w:lineRule="exact"/>
        <w:rPr>
          <w:sz w:val="20"/>
          <w:szCs w:val="20"/>
          <w:color w:val="auto"/>
        </w:rPr>
      </w:pPr>
    </w:p>
    <w:p>
      <w:pPr>
        <w:ind w:left="1280" w:right="60" w:hanging="379"/>
        <w:spacing w:after="0" w:line="252" w:lineRule="auto"/>
        <w:tabs>
          <w:tab w:leader="none" w:pos="1280" w:val="left"/>
        </w:tabs>
        <w:numPr>
          <w:ilvl w:val="0"/>
          <w:numId w:val="68"/>
        </w:numPr>
        <w:rPr>
          <w:rFonts w:ascii="Arial" w:cs="Arial" w:eastAsia="Arial" w:hAnsi="Arial"/>
          <w:sz w:val="12"/>
          <w:szCs w:val="12"/>
          <w:color w:val="1A475F"/>
        </w:rPr>
      </w:pPr>
      <w:r>
        <w:rPr>
          <w:rFonts w:ascii="Arial" w:cs="Arial" w:eastAsia="Arial" w:hAnsi="Arial"/>
          <w:sz w:val="12"/>
          <w:szCs w:val="12"/>
          <w:color w:val="1A475F"/>
        </w:rPr>
        <w:t>Contributions are reported as compensation in the applicable “Salary” and/or “Bonus” coumns in the “Summary Compensation Table” and matching contributions from the Company are included in “All Other Compensation.”</w:t>
      </w:r>
    </w:p>
    <w:p>
      <w:pPr>
        <w:ind w:left="1280" w:right="100" w:hanging="379"/>
        <w:spacing w:after="0" w:line="248" w:lineRule="auto"/>
        <w:tabs>
          <w:tab w:leader="none" w:pos="1280" w:val="left"/>
        </w:tabs>
        <w:numPr>
          <w:ilvl w:val="0"/>
          <w:numId w:val="68"/>
        </w:numPr>
        <w:rPr>
          <w:rFonts w:ascii="Arial" w:cs="Arial" w:eastAsia="Arial" w:hAnsi="Arial"/>
          <w:sz w:val="12"/>
          <w:szCs w:val="12"/>
          <w:color w:val="1A475F"/>
        </w:rPr>
      </w:pPr>
      <w:r>
        <w:rPr>
          <w:rFonts w:ascii="Arial" w:cs="Arial" w:eastAsia="Arial" w:hAnsi="Arial"/>
          <w:sz w:val="12"/>
          <w:szCs w:val="12"/>
          <w:color w:val="1A475F"/>
        </w:rPr>
        <w:t>The aggregate balance for our NQDC Plan includes executive deferrals for prior fiscal years. Such deferrals for individuals who were NEOs for the fiscal years in which the deferrals were made were included as compensation for such individuals in the “Summary Compensation Table” in prior proxy statements. For 2025 amounts, please see footnote (1) above. For 2024 and 2023, the total contributions for Mr. Kramer were $20,156 and $19,338, respectively, the total contributions for Ms. Burke Afonso were $13,088 and $8,955, respectively and the total contributions for Ms. Berman were $140,696 and $0, respectively.</w:t>
      </w:r>
    </w:p>
    <w:p>
      <w:pPr>
        <w:spacing w:after="0" w:line="92" w:lineRule="exact"/>
        <w:rPr>
          <w:sz w:val="20"/>
          <w:szCs w:val="20"/>
          <w:color w:val="auto"/>
        </w:rPr>
      </w:pPr>
    </w:p>
    <w:p>
      <w:pPr>
        <w:jc w:val="right"/>
        <w:ind w:right="20"/>
        <w:spacing w:after="0"/>
        <w:tabs>
          <w:tab w:leader="none" w:pos="440" w:val="left"/>
          <w:tab w:leader="none" w:pos="1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47</w:t>
      </w:r>
    </w:p>
    <w:p>
      <w:pPr>
        <w:sectPr>
          <w:pgSz w:w="11900" w:h="16838" w:orient="portrait"/>
          <w:cols w:equalWidth="0" w:num="1">
            <w:col w:w="10360"/>
          </w:cols>
          <w:pgMar w:left="320" w:top="434" w:right="12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right="20" w:firstLine="756"/>
        <w:spacing w:after="0" w:line="246" w:lineRule="auto"/>
        <w:rPr>
          <w:sz w:val="20"/>
          <w:szCs w:val="20"/>
          <w:color w:val="auto"/>
        </w:rPr>
      </w:pPr>
      <w:r>
        <w:rPr>
          <w:rFonts w:ascii="Arial" w:cs="Arial" w:eastAsia="Arial" w:hAnsi="Arial"/>
          <w:sz w:val="15"/>
          <w:szCs w:val="15"/>
          <w:color w:val="1A475F"/>
        </w:rPr>
        <w:t>We offer the NQDC Plan to our highly compensated employees as defined by the Employee Retirement Income Security Act of 1974, as amended, including our NEOs. Participants can defer up to 50% of their salary and up to 100% of paid bonus compensation under the NQDC Plan. The Company also makes matching contributions, and this matching contribution for 2025 was 25% of a participant’s elective deferral, up to $2,500. Participants are fully vested in their elective deferrals, and Company matching contributions begin to vest 25% per year of service and fully vest after four years of service. Aggregate earnings on account balances under this plan are determined based on the performance of the underlying investments available under the NQDC Plan selected by the individual participant. Participants can elect to receive scheduled distributions of their elective deferrals during or following employment, in a lump sum at separation from service (other than retirement) or in installment payments for each elective deferral period, and may only take distributions of Company contributions following a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123825</wp:posOffset>
            </wp:positionV>
            <wp:extent cx="5997575" cy="183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1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Potential Payments Upon Termination or Change of Control</w:t>
      </w:r>
    </w:p>
    <w:p>
      <w:pPr>
        <w:spacing w:after="0" w:line="154" w:lineRule="exact"/>
        <w:rPr>
          <w:sz w:val="20"/>
          <w:szCs w:val="20"/>
          <w:color w:val="auto"/>
        </w:rPr>
      </w:pPr>
    </w:p>
    <w:p>
      <w:pPr>
        <w:ind w:left="900" w:firstLine="756"/>
        <w:spacing w:after="0" w:line="255" w:lineRule="auto"/>
        <w:rPr>
          <w:sz w:val="20"/>
          <w:szCs w:val="20"/>
          <w:color w:val="auto"/>
        </w:rPr>
      </w:pPr>
      <w:r>
        <w:rPr>
          <w:rFonts w:ascii="Arial" w:cs="Arial" w:eastAsia="Arial" w:hAnsi="Arial"/>
          <w:sz w:val="15"/>
          <w:szCs w:val="15"/>
          <w:color w:val="1A475F"/>
        </w:rPr>
        <w:t>The following summaries and table describe and quantify the potential payments and benefits that would have been provided to each of our NEOs if a termination of employment or a change of control had occurred on December 31, 2025 under our compensation plans and agreements. These summaries are qualified in their entirety by the terms of the severance arrangements in place with our NEOs or our forms of award agreements.</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Change of Control / Severance Arrangements</w:t>
      </w:r>
    </w:p>
    <w:p>
      <w:pPr>
        <w:spacing w:after="0" w:line="94" w:lineRule="exact"/>
        <w:rPr>
          <w:sz w:val="20"/>
          <w:szCs w:val="20"/>
          <w:color w:val="auto"/>
        </w:rPr>
      </w:pPr>
    </w:p>
    <w:p>
      <w:pPr>
        <w:ind w:left="900" w:firstLine="756"/>
        <w:spacing w:after="0" w:line="261" w:lineRule="auto"/>
        <w:rPr>
          <w:sz w:val="20"/>
          <w:szCs w:val="20"/>
          <w:color w:val="auto"/>
        </w:rPr>
      </w:pPr>
      <w:r>
        <w:rPr>
          <w:rFonts w:ascii="Arial" w:cs="Arial" w:eastAsia="Arial" w:hAnsi="Arial"/>
          <w:sz w:val="15"/>
          <w:szCs w:val="15"/>
          <w:color w:val="1A475F"/>
        </w:rPr>
        <w:t>The Company has severance agreements with each of Mr. Kramer and Mses. Berman, Boland and Burke Afonso and a service agreement with Ms. Marshall that each provide for certain payments and benefits upon a qualifying termination of the executive’s employment and/or a change of control (as such term is defined in the respective agreements).</w:t>
      </w:r>
    </w:p>
    <w:p>
      <w:pPr>
        <w:spacing w:after="0" w:line="49" w:lineRule="exact"/>
        <w:rPr>
          <w:sz w:val="20"/>
          <w:szCs w:val="20"/>
          <w:color w:val="auto"/>
        </w:rPr>
      </w:pPr>
    </w:p>
    <w:p>
      <w:pPr>
        <w:ind w:left="900" w:firstLine="756"/>
        <w:spacing w:after="0" w:line="247" w:lineRule="auto"/>
        <w:rPr>
          <w:sz w:val="20"/>
          <w:szCs w:val="20"/>
          <w:color w:val="auto"/>
        </w:rPr>
      </w:pPr>
      <w:r>
        <w:rPr>
          <w:rFonts w:ascii="Arial" w:cs="Arial" w:eastAsia="Arial" w:hAnsi="Arial"/>
          <w:sz w:val="15"/>
          <w:szCs w:val="15"/>
          <w:b w:val="1"/>
          <w:bCs w:val="1"/>
          <w:color w:val="1A475F"/>
        </w:rPr>
        <w:t xml:space="preserve">Change of Control. </w:t>
      </w:r>
      <w:r>
        <w:rPr>
          <w:rFonts w:ascii="Arial" w:cs="Arial" w:eastAsia="Arial" w:hAnsi="Arial"/>
          <w:sz w:val="15"/>
          <w:szCs w:val="15"/>
          <w:color w:val="1A475F"/>
        </w:rPr>
        <w:t>Pursuant to the severance agreements or service agreement in the case of Ms. Marshall, immediately</w:t>
      </w:r>
      <w:r>
        <w:rPr>
          <w:rFonts w:ascii="Arial" w:cs="Arial" w:eastAsia="Arial" w:hAnsi="Arial"/>
          <w:sz w:val="15"/>
          <w:szCs w:val="15"/>
          <w:b w:val="1"/>
          <w:bCs w:val="1"/>
          <w:color w:val="1A475F"/>
        </w:rPr>
        <w:t xml:space="preserve"> </w:t>
      </w:r>
      <w:r>
        <w:rPr>
          <w:rFonts w:ascii="Arial" w:cs="Arial" w:eastAsia="Arial" w:hAnsi="Arial"/>
          <w:sz w:val="15"/>
          <w:szCs w:val="15"/>
          <w:color w:val="1A475F"/>
        </w:rPr>
        <w:t>prior to a change of control, all unvested options then held by the NEO will vest in full. Pursuant to the PRSU agreements, if the participant has been employed for more than two years, the PRSUs will vest as to 100% on a change of control assuming achievement of target and, for participants employed for less than two years, the PRSUs will vest as to 100% only upon a termination without cause or for good reason within 12 months after a change of control and assuming achievement of target. Pursuant to the RSU agreements, if the participant has been employed for more than two years, the RSUs will vest as to 100% on a change of control and, for participants employed for less than two years, the RSUs will vest as to 100% only upon a termination without cause or for good reason within 12 months after a change of control.</w:t>
      </w:r>
    </w:p>
    <w:p>
      <w:pPr>
        <w:spacing w:after="0" w:line="239" w:lineRule="exact"/>
        <w:rPr>
          <w:sz w:val="20"/>
          <w:szCs w:val="20"/>
          <w:color w:val="auto"/>
        </w:rPr>
      </w:pPr>
    </w:p>
    <w:p>
      <w:pPr>
        <w:ind w:left="900" w:firstLine="756"/>
        <w:spacing w:after="0" w:line="245" w:lineRule="auto"/>
        <w:rPr>
          <w:sz w:val="20"/>
          <w:szCs w:val="20"/>
          <w:color w:val="auto"/>
        </w:rPr>
      </w:pPr>
      <w:r>
        <w:rPr>
          <w:rFonts w:ascii="Arial" w:cs="Arial" w:eastAsia="Arial" w:hAnsi="Arial"/>
          <w:sz w:val="15"/>
          <w:szCs w:val="15"/>
          <w:b w:val="1"/>
          <w:bCs w:val="1"/>
          <w:color w:val="1A475F"/>
        </w:rPr>
        <w:t xml:space="preserve">Termination of Employment Without Cause or for Good Reason Within 24 Months Following a Change of Control. </w:t>
      </w:r>
      <w:r>
        <w:rPr>
          <w:rFonts w:ascii="Arial" w:cs="Arial" w:eastAsia="Arial" w:hAnsi="Arial"/>
          <w:sz w:val="15"/>
          <w:szCs w:val="15"/>
          <w:color w:val="1A475F"/>
        </w:rPr>
        <w:t>If,</w:t>
      </w:r>
      <w:r>
        <w:rPr>
          <w:rFonts w:ascii="Arial" w:cs="Arial" w:eastAsia="Arial" w:hAnsi="Arial"/>
          <w:sz w:val="15"/>
          <w:szCs w:val="15"/>
          <w:b w:val="1"/>
          <w:bCs w:val="1"/>
          <w:color w:val="1A475F"/>
        </w:rPr>
        <w:t xml:space="preserve"> </w:t>
      </w:r>
      <w:r>
        <w:rPr>
          <w:rFonts w:ascii="Arial" w:cs="Arial" w:eastAsia="Arial" w:hAnsi="Arial"/>
          <w:sz w:val="15"/>
          <w:szCs w:val="15"/>
          <w:color w:val="1A475F"/>
        </w:rPr>
        <w:t>within 24 months after a change of control (the “Protection Period”), an executive’s employment is terminated by the Company for any reason other than for cause or death or disability, or the executive terminates his or her employment for good reason (as such terms are defined in the respective agreements), the executive will be entitled to receive (a) any accrued but unpaid salary as of termination and a pro-rated portion of any bonus payable for the fiscal year in which the termination occurs, and (b) subject to the executive’s compliance with restricted covenants contained in the agreement severance pay equal to the executive’s total base salary and cash bonus compensation for the prior two years of the executive’s employment in bi-weekly payments for up to two years (and in the event an executive has been employed for less than two years, amounts equal to current salary level and cash bonus compensation for the fiscal year in which termination occurs multiplied by two). If the executive elects, in accordance with applicable federal law, to continue his or her participation in the Company’s health plans following termination of employment, the Company will pay the premiums for such participation for 24 months (or until such earlier date as the executive secures other employment), or if the executive’s continued participation in the Company’s group health plans is not possible under the terms of those plans, the Company will provide the executive and his or her dependents substantially similar benefits or pay the executive an amount equal to the full cash value thereof.</w:t>
      </w:r>
    </w:p>
    <w:p>
      <w:pPr>
        <w:spacing w:after="0" w:line="61" w:lineRule="exact"/>
        <w:rPr>
          <w:sz w:val="20"/>
          <w:szCs w:val="20"/>
          <w:color w:val="auto"/>
        </w:rPr>
      </w:pPr>
    </w:p>
    <w:p>
      <w:pPr>
        <w:ind w:left="900" w:right="20" w:firstLine="756"/>
        <w:spacing w:after="0" w:line="252" w:lineRule="auto"/>
        <w:rPr>
          <w:sz w:val="20"/>
          <w:szCs w:val="20"/>
          <w:color w:val="auto"/>
        </w:rPr>
      </w:pPr>
      <w:r>
        <w:rPr>
          <w:rFonts w:ascii="Arial" w:cs="Arial" w:eastAsia="Arial" w:hAnsi="Arial"/>
          <w:sz w:val="15"/>
          <w:szCs w:val="15"/>
          <w:b w:val="1"/>
          <w:bCs w:val="1"/>
          <w:color w:val="1A475F"/>
        </w:rPr>
        <w:t xml:space="preserve">Termination of Employment Without Cause or for Good Reason Without a Change of Control. </w:t>
      </w:r>
      <w:r>
        <w:rPr>
          <w:rFonts w:ascii="Arial" w:cs="Arial" w:eastAsia="Arial" w:hAnsi="Arial"/>
          <w:sz w:val="15"/>
          <w:szCs w:val="15"/>
          <w:color w:val="1A475F"/>
        </w:rPr>
        <w:t>If the Company terminates</w:t>
      </w:r>
      <w:r>
        <w:rPr>
          <w:rFonts w:ascii="Arial" w:cs="Arial" w:eastAsia="Arial" w:hAnsi="Arial"/>
          <w:sz w:val="15"/>
          <w:szCs w:val="15"/>
          <w:b w:val="1"/>
          <w:bCs w:val="1"/>
          <w:color w:val="1A475F"/>
        </w:rPr>
        <w:t xml:space="preserve"> </w:t>
      </w:r>
      <w:r>
        <w:rPr>
          <w:rFonts w:ascii="Arial" w:cs="Arial" w:eastAsia="Arial" w:hAnsi="Arial"/>
          <w:sz w:val="15"/>
          <w:szCs w:val="15"/>
          <w:color w:val="1A475F"/>
        </w:rPr>
        <w:t>the executive’s employment without cause or the executive resigns for good reason outside of the Protection Period, in addition to any accrued but unpaid salary and other accrued benefits then due to the executive as of termination, the executive will be entitled to receive bi-weekly severance payments for one year at his or her then current salary level and a pro-rated portion of other accrued benefits due and any bonus payable for the fiscal year in which the termination occurs.</w:t>
      </w:r>
    </w:p>
    <w:p>
      <w:pPr>
        <w:spacing w:after="0" w:line="57" w:lineRule="exact"/>
        <w:rPr>
          <w:sz w:val="20"/>
          <w:szCs w:val="20"/>
          <w:color w:val="auto"/>
        </w:rPr>
      </w:pPr>
    </w:p>
    <w:p>
      <w:pPr>
        <w:ind w:left="900" w:right="240" w:firstLine="756"/>
        <w:spacing w:after="0" w:line="282" w:lineRule="auto"/>
        <w:rPr>
          <w:sz w:val="20"/>
          <w:szCs w:val="20"/>
          <w:color w:val="auto"/>
        </w:rPr>
      </w:pPr>
      <w:r>
        <w:rPr>
          <w:rFonts w:ascii="Arial" w:cs="Arial" w:eastAsia="Arial" w:hAnsi="Arial"/>
          <w:sz w:val="15"/>
          <w:szCs w:val="15"/>
          <w:color w:val="1A475F"/>
        </w:rPr>
        <w:t>Pursuant to the PRSU agreements, the participant’s PRSUs will vest in a pro-rata portion equal to the number of months the participant has been employed during the performance period assuming achievement at target.</w:t>
      </w:r>
    </w:p>
    <w:p>
      <w:pPr>
        <w:spacing w:after="0" w:line="171"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48</w:t>
        <w:tab/>
        <w:t>|    Bright Horizons </w:t>
      </w:r>
    </w:p>
    <w:p>
      <w:pPr>
        <w:sectPr>
          <w:pgSz w:w="11900" w:h="16838" w:orient="portrait"/>
          <w:cols w:equalWidth="0" w:num="1">
            <w:col w:w="10340"/>
          </w:cols>
          <w:pgMar w:left="320" w:top="433" w:right="1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900" w:right="20" w:firstLine="756"/>
        <w:spacing w:after="0" w:line="250" w:lineRule="auto"/>
        <w:rPr>
          <w:sz w:val="20"/>
          <w:szCs w:val="20"/>
          <w:color w:val="auto"/>
        </w:rPr>
      </w:pPr>
      <w:r>
        <w:rPr>
          <w:rFonts w:ascii="Arial" w:cs="Arial" w:eastAsia="Arial" w:hAnsi="Arial"/>
          <w:sz w:val="15"/>
          <w:szCs w:val="15"/>
          <w:b w:val="1"/>
          <w:bCs w:val="1"/>
          <w:color w:val="1A475F"/>
        </w:rPr>
        <w:t>Termination of Employment Due to Death or Disability</w:t>
      </w:r>
      <w:r>
        <w:rPr>
          <w:rFonts w:ascii="Arial" w:cs="Arial" w:eastAsia="Arial" w:hAnsi="Arial"/>
          <w:sz w:val="15"/>
          <w:szCs w:val="15"/>
          <w:b w:val="1"/>
          <w:bCs w:val="1"/>
          <w:i w:val="1"/>
          <w:iCs w:val="1"/>
          <w:color w:val="1A475F"/>
        </w:rPr>
        <w:t>.</w:t>
      </w:r>
      <w:r>
        <w:rPr>
          <w:rFonts w:ascii="Arial" w:cs="Arial" w:eastAsia="Arial" w:hAnsi="Arial"/>
          <w:sz w:val="15"/>
          <w:szCs w:val="15"/>
          <w:b w:val="1"/>
          <w:bCs w:val="1"/>
          <w:color w:val="1A475F"/>
        </w:rPr>
        <w:t xml:space="preserve"> </w:t>
      </w:r>
      <w:r>
        <w:rPr>
          <w:rFonts w:ascii="Arial" w:cs="Arial" w:eastAsia="Arial" w:hAnsi="Arial"/>
          <w:sz w:val="15"/>
          <w:szCs w:val="15"/>
          <w:color w:val="1A475F"/>
        </w:rPr>
        <w:t>If the executive’s employment terminates due to death or due to the</w:t>
      </w:r>
      <w:r>
        <w:rPr>
          <w:rFonts w:ascii="Arial" w:cs="Arial" w:eastAsia="Arial" w:hAnsi="Arial"/>
          <w:sz w:val="15"/>
          <w:szCs w:val="15"/>
          <w:b w:val="1"/>
          <w:bCs w:val="1"/>
          <w:color w:val="1A475F"/>
        </w:rPr>
        <w:t xml:space="preserve"> </w:t>
      </w:r>
      <w:r>
        <w:rPr>
          <w:rFonts w:ascii="Arial" w:cs="Arial" w:eastAsia="Arial" w:hAnsi="Arial"/>
          <w:sz w:val="15"/>
          <w:szCs w:val="15"/>
          <w:color w:val="1A475F"/>
        </w:rPr>
        <w:t>executive becoming disabled, the executive will be entitled to receive accrued but unpaid salary and other accrued benefits then due to the executive as of termination and a pro-rated portion of any bonus payable for the fiscal year in which the termination occurs. In addition, in the case of Ms. Marshall and a termination due to disability, pursuant to her service agreement, Ms. Marshall may (i) be placed on garden leave during all or part of her contractual notice period; or (ii) be paid in lieu of all or part of her contractual notice period, in each case equal to three months’ salary.</w:t>
      </w:r>
    </w:p>
    <w:p>
      <w:pPr>
        <w:spacing w:after="0" w:line="58" w:lineRule="exact"/>
        <w:rPr>
          <w:sz w:val="20"/>
          <w:szCs w:val="20"/>
          <w:color w:val="auto"/>
        </w:rPr>
      </w:pPr>
    </w:p>
    <w:p>
      <w:pPr>
        <w:ind w:left="900" w:right="40" w:firstLine="756"/>
        <w:spacing w:after="0" w:line="249" w:lineRule="auto"/>
        <w:rPr>
          <w:sz w:val="20"/>
          <w:szCs w:val="20"/>
          <w:color w:val="auto"/>
        </w:rPr>
      </w:pPr>
      <w:r>
        <w:rPr>
          <w:rFonts w:ascii="Arial" w:cs="Arial" w:eastAsia="Arial" w:hAnsi="Arial"/>
          <w:sz w:val="15"/>
          <w:szCs w:val="15"/>
          <w:color w:val="1A475F"/>
        </w:rPr>
        <w:t>Pursuant to the PRSU agreements, the participant will vest in a pro-rata portion of PRSUs equal to the number of months the participant has been employed during the performance period assuming achievement at target. Starting in 2026, pursuant to the RSU agreements, if the participant has been employed for more than three years, the RSUs will vest 100% upon the termination of an executive’s employment due to death or disability. For participants employed for less than three years, the participant will vest in a pro-rata portion of RSUs equal to the number of months the participant was employed during the first three year period of employment until the date of occurrence of death or disability.</w:t>
      </w:r>
    </w:p>
    <w:p>
      <w:pPr>
        <w:spacing w:after="0" w:line="59" w:lineRule="exact"/>
        <w:rPr>
          <w:sz w:val="20"/>
          <w:szCs w:val="20"/>
          <w:color w:val="auto"/>
        </w:rPr>
      </w:pPr>
    </w:p>
    <w:p>
      <w:pPr>
        <w:ind w:left="900" w:right="200" w:firstLine="756"/>
        <w:spacing w:after="0" w:line="263" w:lineRule="auto"/>
        <w:rPr>
          <w:sz w:val="20"/>
          <w:szCs w:val="20"/>
          <w:color w:val="auto"/>
        </w:rPr>
      </w:pPr>
      <w:r>
        <w:rPr>
          <w:rFonts w:ascii="Arial" w:cs="Arial" w:eastAsia="Arial" w:hAnsi="Arial"/>
          <w:sz w:val="15"/>
          <w:szCs w:val="15"/>
          <w:b w:val="1"/>
          <w:bCs w:val="1"/>
          <w:color w:val="1A475F"/>
        </w:rPr>
        <w:t xml:space="preserve">Other Termination of Employment. </w:t>
      </w:r>
      <w:r>
        <w:rPr>
          <w:rFonts w:ascii="Arial" w:cs="Arial" w:eastAsia="Arial" w:hAnsi="Arial"/>
          <w:sz w:val="15"/>
          <w:szCs w:val="15"/>
          <w:color w:val="1A475F"/>
        </w:rPr>
        <w:t>If the executive’s employment is terminated by the Company for cause or the executive</w:t>
      </w:r>
      <w:r>
        <w:rPr>
          <w:rFonts w:ascii="Arial" w:cs="Arial" w:eastAsia="Arial" w:hAnsi="Arial"/>
          <w:sz w:val="15"/>
          <w:szCs w:val="15"/>
          <w:b w:val="1"/>
          <w:bCs w:val="1"/>
          <w:color w:val="1A475F"/>
        </w:rPr>
        <w:t xml:space="preserve"> </w:t>
      </w:r>
      <w:r>
        <w:rPr>
          <w:rFonts w:ascii="Arial" w:cs="Arial" w:eastAsia="Arial" w:hAnsi="Arial"/>
          <w:sz w:val="15"/>
          <w:szCs w:val="15"/>
          <w:color w:val="1A475F"/>
        </w:rPr>
        <w:t>voluntarily resigns without good reason, the executive will only be entitled to receive accrued but unpaid salary and any other accrued benefits then due to the executive as of termination.</w:t>
      </w:r>
    </w:p>
    <w:p>
      <w:pPr>
        <w:spacing w:after="0" w:line="46" w:lineRule="exact"/>
        <w:rPr>
          <w:sz w:val="20"/>
          <w:szCs w:val="20"/>
          <w:color w:val="auto"/>
        </w:rPr>
      </w:pPr>
    </w:p>
    <w:p>
      <w:pPr>
        <w:ind w:left="900" w:right="300" w:firstLine="756"/>
        <w:spacing w:after="0" w:line="263" w:lineRule="auto"/>
        <w:rPr>
          <w:sz w:val="20"/>
          <w:szCs w:val="20"/>
          <w:color w:val="auto"/>
        </w:rPr>
      </w:pPr>
      <w:r>
        <w:rPr>
          <w:rFonts w:ascii="Arial" w:cs="Arial" w:eastAsia="Arial" w:hAnsi="Arial"/>
          <w:sz w:val="15"/>
          <w:szCs w:val="15"/>
          <w:b w:val="1"/>
          <w:bCs w:val="1"/>
          <w:color w:val="1A475F"/>
        </w:rPr>
        <w:t xml:space="preserve">Restrictive Covenants. </w:t>
      </w:r>
      <w:r>
        <w:rPr>
          <w:rFonts w:ascii="Arial" w:cs="Arial" w:eastAsia="Arial" w:hAnsi="Arial"/>
          <w:sz w:val="15"/>
          <w:szCs w:val="15"/>
          <w:color w:val="1A475F"/>
        </w:rPr>
        <w:t>Under the terms of their respective severance agreements or service agreement in the case of</w:t>
      </w:r>
      <w:r>
        <w:rPr>
          <w:rFonts w:ascii="Arial" w:cs="Arial" w:eastAsia="Arial" w:hAnsi="Arial"/>
          <w:sz w:val="15"/>
          <w:szCs w:val="15"/>
          <w:b w:val="1"/>
          <w:bCs w:val="1"/>
          <w:color w:val="1A475F"/>
        </w:rPr>
        <w:t xml:space="preserve"> </w:t>
      </w:r>
      <w:r>
        <w:rPr>
          <w:rFonts w:ascii="Arial" w:cs="Arial" w:eastAsia="Arial" w:hAnsi="Arial"/>
          <w:sz w:val="15"/>
          <w:szCs w:val="15"/>
          <w:color w:val="1A475F"/>
        </w:rPr>
        <w:t>Ms. Marshall, each of our NEOs has agreed to confidentiality obligations during and after employment and to non-competition, non-solicitation, and non-hire obligations during the severance payment period (as such term is defined in the respective agreements).</w:t>
      </w:r>
    </w:p>
    <w:p>
      <w:pPr>
        <w:spacing w:after="0" w:line="48" w:lineRule="exact"/>
        <w:rPr>
          <w:sz w:val="20"/>
          <w:szCs w:val="20"/>
          <w:color w:val="auto"/>
        </w:rPr>
      </w:pPr>
    </w:p>
    <w:p>
      <w:pPr>
        <w:ind w:left="900" w:right="160" w:firstLine="756"/>
        <w:spacing w:after="0" w:line="282" w:lineRule="auto"/>
        <w:rPr>
          <w:sz w:val="20"/>
          <w:szCs w:val="20"/>
          <w:color w:val="auto"/>
        </w:rPr>
      </w:pPr>
      <w:r>
        <w:rPr>
          <w:rFonts w:ascii="Arial" w:cs="Arial" w:eastAsia="Arial" w:hAnsi="Arial"/>
          <w:sz w:val="15"/>
          <w:szCs w:val="15"/>
          <w:color w:val="1A475F"/>
        </w:rPr>
        <w:t>Generally, the executive’s right to receive severance pay and benefits described above is subject to his or her execution of an effective release of claims in favor of the Company.</w:t>
      </w:r>
    </w:p>
    <w:p>
      <w:pPr>
        <w:spacing w:after="0" w:line="35" w:lineRule="exact"/>
        <w:rPr>
          <w:sz w:val="20"/>
          <w:szCs w:val="20"/>
          <w:color w:val="auto"/>
        </w:rPr>
      </w:pPr>
    </w:p>
    <w:p>
      <w:pPr>
        <w:ind w:left="900" w:right="60" w:firstLine="756"/>
        <w:spacing w:after="0" w:line="246" w:lineRule="auto"/>
        <w:rPr>
          <w:sz w:val="20"/>
          <w:szCs w:val="20"/>
          <w:color w:val="auto"/>
        </w:rPr>
      </w:pPr>
      <w:r>
        <w:rPr>
          <w:rFonts w:ascii="Arial" w:cs="Arial" w:eastAsia="Arial" w:hAnsi="Arial"/>
          <w:sz w:val="15"/>
          <w:szCs w:val="15"/>
          <w:color w:val="1A475F"/>
        </w:rPr>
        <w:t>The following table summarizes the payments that would have been made to our NEOs upon the occurrence of a qualifying termination of employment or change of control, assuming that each NEOs’ termination of employment or a change of control occurred on December 31, 2025 (the last day of our fiscal year). In the case of a termination of employment by the Company without cause or by the executive for good reason, severance amounts and benefits have been calculated assuming that the termination occurred within the</w:t>
      </w:r>
    </w:p>
    <w:p>
      <w:pPr>
        <w:spacing w:after="0" w:line="1" w:lineRule="exact"/>
        <w:rPr>
          <w:sz w:val="20"/>
          <w:szCs w:val="20"/>
          <w:color w:val="auto"/>
        </w:rPr>
      </w:pPr>
    </w:p>
    <w:p>
      <w:pPr>
        <w:ind w:left="900" w:right="180"/>
        <w:spacing w:after="0" w:line="241" w:lineRule="auto"/>
        <w:rPr>
          <w:sz w:val="20"/>
          <w:szCs w:val="20"/>
          <w:color w:val="auto"/>
        </w:rPr>
      </w:pPr>
      <w:r>
        <w:rPr>
          <w:rFonts w:ascii="Arial" w:cs="Arial" w:eastAsia="Arial" w:hAnsi="Arial"/>
          <w:sz w:val="15"/>
          <w:szCs w:val="15"/>
          <w:color w:val="1A475F"/>
        </w:rPr>
        <w:t>24-month Protection Period described above. If a termination of employment had occurred on December 31, 2025, severance payments and benefits would have been determined under the executive officer’s severance agreement, or service agreement in the case of</w:t>
      </w:r>
    </w:p>
    <w:p>
      <w:pPr>
        <w:spacing w:after="0" w:line="1" w:lineRule="exact"/>
        <w:rPr>
          <w:sz w:val="20"/>
          <w:szCs w:val="20"/>
          <w:color w:val="auto"/>
        </w:rPr>
      </w:pPr>
    </w:p>
    <w:p>
      <w:pPr>
        <w:ind w:left="900" w:right="180"/>
        <w:spacing w:after="0" w:line="252" w:lineRule="auto"/>
        <w:rPr>
          <w:sz w:val="20"/>
          <w:szCs w:val="20"/>
          <w:color w:val="auto"/>
        </w:rPr>
      </w:pPr>
      <w:r>
        <w:rPr>
          <w:rFonts w:ascii="Arial" w:cs="Arial" w:eastAsia="Arial" w:hAnsi="Arial"/>
          <w:sz w:val="15"/>
          <w:szCs w:val="15"/>
          <w:color w:val="1A475F"/>
        </w:rPr>
        <w:t>Ms. Marshall, as in effect on such date and as described above. Amounts shown do not include (i) accrued but unpaid salary and vested benefits and (ii) other benefits earned or accrued during employment that are available to all salaried employees and that do not discriminate in scope, terms or operations in favor of executive officers.</w:t>
      </w:r>
    </w:p>
    <w:p>
      <w:pPr>
        <w:spacing w:after="0" w:line="161"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1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gridSpan w:val="3"/>
          </w:tcPr>
          <w:p>
            <w:pPr>
              <w:jc w:val="center"/>
              <w:spacing w:after="0"/>
              <w:rPr>
                <w:sz w:val="20"/>
                <w:szCs w:val="20"/>
                <w:color w:val="auto"/>
              </w:rPr>
            </w:pPr>
            <w:r>
              <w:rPr>
                <w:rFonts w:ascii="Arial" w:cs="Arial" w:eastAsia="Arial" w:hAnsi="Arial"/>
                <w:sz w:val="11"/>
                <w:szCs w:val="11"/>
                <w:b w:val="1"/>
                <w:bCs w:val="1"/>
                <w:color w:val="1A475F"/>
                <w:w w:val="96"/>
              </w:rPr>
              <w:t>Termination of</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5"/>
            <w:vMerge w:val="restart"/>
          </w:tcPr>
          <w:p>
            <w:pPr>
              <w:jc w:val="center"/>
              <w:spacing w:after="0"/>
              <w:rPr>
                <w:sz w:val="20"/>
                <w:szCs w:val="20"/>
                <w:color w:val="auto"/>
              </w:rPr>
            </w:pPr>
            <w:r>
              <w:rPr>
                <w:rFonts w:ascii="Arial" w:cs="Arial" w:eastAsia="Arial" w:hAnsi="Arial"/>
                <w:sz w:val="11"/>
                <w:szCs w:val="11"/>
                <w:b w:val="1"/>
                <w:bCs w:val="1"/>
                <w:color w:val="1A475F"/>
                <w:w w:val="96"/>
              </w:rPr>
              <w:t>Termination of</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0" w:type="dxa"/>
            <w:vAlign w:val="bottom"/>
            <w:gridSpan w:val="6"/>
          </w:tcPr>
          <w:p>
            <w:pPr>
              <w:jc w:val="center"/>
              <w:ind w:right="25"/>
              <w:spacing w:after="0" w:line="116" w:lineRule="exact"/>
              <w:rPr>
                <w:sz w:val="20"/>
                <w:szCs w:val="20"/>
                <w:color w:val="auto"/>
              </w:rPr>
            </w:pPr>
            <w:r>
              <w:rPr>
                <w:rFonts w:ascii="Arial" w:cs="Arial" w:eastAsia="Arial" w:hAnsi="Arial"/>
                <w:sz w:val="11"/>
                <w:szCs w:val="11"/>
                <w:b w:val="1"/>
                <w:bCs w:val="1"/>
                <w:color w:val="1A475F"/>
                <w:w w:val="98"/>
              </w:rPr>
              <w:t>Employment Without</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center"/>
              <w:ind w:right="7"/>
              <w:spacing w:after="0"/>
              <w:rPr>
                <w:sz w:val="20"/>
                <w:szCs w:val="20"/>
                <w:color w:val="auto"/>
              </w:rPr>
            </w:pPr>
            <w:r>
              <w:rPr>
                <w:rFonts w:ascii="Arial" w:cs="Arial" w:eastAsia="Arial" w:hAnsi="Arial"/>
                <w:sz w:val="11"/>
                <w:szCs w:val="11"/>
                <w:b w:val="1"/>
                <w:bCs w:val="1"/>
                <w:color w:val="1A475F"/>
                <w:w w:val="99"/>
              </w:rPr>
              <w:t>Change</w:t>
            </w:r>
          </w:p>
        </w:tc>
        <w:tc>
          <w:tcPr>
            <w:tcW w:w="0" w:type="dxa"/>
            <w:vAlign w:val="bottom"/>
          </w:tcPr>
          <w:p>
            <w:pPr>
              <w:spacing w:after="0"/>
              <w:rPr>
                <w:sz w:val="1"/>
                <w:szCs w:val="1"/>
                <w:color w:val="auto"/>
              </w:rPr>
            </w:pPr>
          </w:p>
        </w:tc>
      </w:tr>
      <w:tr>
        <w:trPr>
          <w:trHeight w:val="116"/>
        </w:trPr>
        <w:tc>
          <w:tcPr>
            <w:tcW w:w="1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80" w:type="dxa"/>
            <w:vAlign w:val="bottom"/>
            <w:gridSpan w:val="9"/>
            <w:vMerge w:val="restart"/>
          </w:tcPr>
          <w:p>
            <w:pPr>
              <w:jc w:val="right"/>
              <w:ind w:right="306"/>
              <w:spacing w:after="0"/>
              <w:rPr>
                <w:sz w:val="20"/>
                <w:szCs w:val="20"/>
                <w:color w:val="auto"/>
              </w:rPr>
            </w:pPr>
            <w:r>
              <w:rPr>
                <w:rFonts w:ascii="Arial" w:cs="Arial" w:eastAsia="Arial" w:hAnsi="Arial"/>
                <w:sz w:val="11"/>
                <w:szCs w:val="11"/>
                <w:b w:val="1"/>
                <w:bCs w:val="1"/>
                <w:color w:val="1A475F"/>
              </w:rPr>
              <w:t>Termination of Employment Without Cause/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83"/>
              <w:spacing w:after="0" w:line="116" w:lineRule="exact"/>
              <w:rPr>
                <w:sz w:val="20"/>
                <w:szCs w:val="20"/>
                <w:color w:val="auto"/>
              </w:rPr>
            </w:pPr>
            <w:r>
              <w:rPr>
                <w:rFonts w:ascii="Arial" w:cs="Arial" w:eastAsia="Arial" w:hAnsi="Arial"/>
                <w:sz w:val="11"/>
                <w:szCs w:val="11"/>
                <w:b w:val="1"/>
                <w:bCs w:val="1"/>
                <w:color w:val="1A475F"/>
                <w:w w:val="98"/>
              </w:rPr>
              <w:t>Cause/for</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spacing w:after="0" w:line="116" w:lineRule="exact"/>
              <w:rPr>
                <w:sz w:val="20"/>
                <w:szCs w:val="20"/>
                <w:color w:val="auto"/>
              </w:rPr>
            </w:pPr>
            <w:r>
              <w:rPr>
                <w:rFonts w:ascii="Arial" w:cs="Arial" w:eastAsia="Arial" w:hAnsi="Arial"/>
                <w:sz w:val="11"/>
                <w:szCs w:val="11"/>
                <w:b w:val="1"/>
                <w:bCs w:val="1"/>
                <w:color w:val="1A475F"/>
                <w:w w:val="96"/>
              </w:rPr>
              <w:t>Employment</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80" w:type="dxa"/>
            <w:vAlign w:val="bottom"/>
            <w:gridSpan w:val="9"/>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5"/>
          </w:tcPr>
          <w:p>
            <w:pPr>
              <w:jc w:val="center"/>
              <w:ind w:left="424"/>
              <w:spacing w:after="0" w:line="116" w:lineRule="exact"/>
              <w:rPr>
                <w:sz w:val="20"/>
                <w:szCs w:val="20"/>
                <w:color w:val="auto"/>
              </w:rPr>
            </w:pPr>
            <w:r>
              <w:rPr>
                <w:rFonts w:ascii="Arial" w:cs="Arial" w:eastAsia="Arial" w:hAnsi="Arial"/>
                <w:sz w:val="11"/>
                <w:szCs w:val="11"/>
                <w:b w:val="1"/>
                <w:bCs w:val="1"/>
                <w:color w:val="1A475F"/>
                <w:w w:val="97"/>
              </w:rPr>
              <w:t>Good Reason and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5"/>
          </w:tcPr>
          <w:p>
            <w:pPr>
              <w:jc w:val="right"/>
              <w:spacing w:after="0" w:line="116" w:lineRule="exact"/>
              <w:rPr>
                <w:sz w:val="20"/>
                <w:szCs w:val="20"/>
                <w:color w:val="auto"/>
              </w:rPr>
            </w:pPr>
            <w:r>
              <w:rPr>
                <w:rFonts w:ascii="Arial" w:cs="Arial" w:eastAsia="Arial" w:hAnsi="Arial"/>
                <w:sz w:val="11"/>
                <w:szCs w:val="11"/>
                <w:b w:val="1"/>
                <w:bCs w:val="1"/>
                <w:color w:val="1A475F"/>
                <w:w w:val="97"/>
              </w:rPr>
              <w:t>Due to Death or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5"/>
              </w:rPr>
              <w:t>of</w:t>
            </w:r>
          </w:p>
        </w:tc>
        <w:tc>
          <w:tcPr>
            <w:tcW w:w="0" w:type="dxa"/>
            <w:vAlign w:val="bottom"/>
          </w:tcPr>
          <w:p>
            <w:pPr>
              <w:spacing w:after="0"/>
              <w:rPr>
                <w:sz w:val="1"/>
                <w:szCs w:val="1"/>
                <w:color w:val="auto"/>
              </w:rPr>
            </w:pPr>
          </w:p>
        </w:tc>
      </w:tr>
      <w:tr>
        <w:trPr>
          <w:trHeight w:val="131"/>
        </w:trPr>
        <w:tc>
          <w:tcPr>
            <w:tcW w:w="1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9"/>
          </w:tcPr>
          <w:p>
            <w:pPr>
              <w:jc w:val="right"/>
              <w:ind w:right="386"/>
              <w:spacing w:after="0"/>
              <w:rPr>
                <w:sz w:val="20"/>
                <w:szCs w:val="20"/>
                <w:color w:val="auto"/>
              </w:rPr>
            </w:pPr>
            <w:r>
              <w:rPr>
                <w:rFonts w:ascii="Arial" w:cs="Arial" w:eastAsia="Arial" w:hAnsi="Arial"/>
                <w:sz w:val="11"/>
                <w:szCs w:val="11"/>
                <w:b w:val="1"/>
                <w:bCs w:val="1"/>
                <w:color w:val="1A475F"/>
              </w:rPr>
              <w:t>for Good Reason and Change of Control</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6"/>
          </w:tcPr>
          <w:p>
            <w:pPr>
              <w:jc w:val="center"/>
              <w:ind w:right="25"/>
              <w:spacing w:after="0"/>
              <w:rPr>
                <w:sz w:val="20"/>
                <w:szCs w:val="20"/>
                <w:color w:val="auto"/>
              </w:rPr>
            </w:pPr>
            <w:r>
              <w:rPr>
                <w:rFonts w:ascii="Arial" w:cs="Arial" w:eastAsia="Arial" w:hAnsi="Arial"/>
                <w:sz w:val="11"/>
                <w:szCs w:val="11"/>
                <w:b w:val="1"/>
                <w:bCs w:val="1"/>
                <w:color w:val="1A475F"/>
                <w:w w:val="98"/>
              </w:rPr>
              <w:t>No Change of Control</w:t>
            </w: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1A475F"/>
                <w:w w:val="98"/>
              </w:rPr>
              <w:t>Disability</w:t>
            </w: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A475F"/>
                <w:w w:val="97"/>
              </w:rPr>
              <w:t>Control</w:t>
            </w:r>
          </w:p>
        </w:tc>
        <w:tc>
          <w:tcPr>
            <w:tcW w:w="0" w:type="dxa"/>
            <w:vAlign w:val="bottom"/>
          </w:tcPr>
          <w:p>
            <w:pPr>
              <w:spacing w:after="0"/>
              <w:rPr>
                <w:sz w:val="1"/>
                <w:szCs w:val="1"/>
                <w:color w:val="auto"/>
              </w:rPr>
            </w:pPr>
          </w:p>
        </w:tc>
      </w:tr>
      <w:tr>
        <w:trPr>
          <w:trHeight w:val="92"/>
        </w:trPr>
        <w:tc>
          <w:tcPr>
            <w:tcW w:w="1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spacing w:after="0" w:line="92" w:lineRule="exact"/>
              <w:rPr>
                <w:sz w:val="20"/>
                <w:szCs w:val="20"/>
                <w:color w:val="auto"/>
              </w:rPr>
            </w:pPr>
            <w:r>
              <w:rPr>
                <w:rFonts w:ascii="Arial" w:cs="Arial" w:eastAsia="Arial" w:hAnsi="Arial"/>
                <w:sz w:val="10"/>
                <w:szCs w:val="10"/>
                <w:b w:val="1"/>
                <w:bCs w:val="1"/>
                <w:color w:val="1A475F"/>
              </w:rPr>
              <w:t>Accelerated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1A475F"/>
                <w:w w:val="96"/>
              </w:rPr>
              <w:t>Accelerated</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1A475F"/>
                <w:w w:val="99"/>
              </w:rPr>
              <w:t>Accelerated</w:t>
            </w:r>
          </w:p>
        </w:tc>
        <w:tc>
          <w:tcPr>
            <w:tcW w:w="760" w:type="dxa"/>
            <w:vAlign w:val="bottom"/>
            <w:gridSpan w:val="2"/>
            <w:vMerge w:val="restart"/>
          </w:tcPr>
          <w:p>
            <w:pPr>
              <w:jc w:val="center"/>
              <w:ind w:left="3"/>
              <w:spacing w:after="0"/>
              <w:rPr>
                <w:sz w:val="20"/>
                <w:szCs w:val="20"/>
                <w:color w:val="auto"/>
              </w:rPr>
            </w:pPr>
            <w:r>
              <w:rPr>
                <w:rFonts w:ascii="Arial" w:cs="Arial" w:eastAsia="Arial" w:hAnsi="Arial"/>
                <w:sz w:val="11"/>
                <w:szCs w:val="11"/>
                <w:b w:val="1"/>
                <w:bCs w:val="1"/>
                <w:color w:val="1A475F"/>
                <w:w w:val="99"/>
              </w:rPr>
              <w:t>Accelerated</w:t>
            </w:r>
          </w:p>
        </w:tc>
        <w:tc>
          <w:tcPr>
            <w:tcW w:w="0" w:type="dxa"/>
            <w:vAlign w:val="bottom"/>
          </w:tcPr>
          <w:p>
            <w:pPr>
              <w:spacing w:after="0"/>
              <w:rPr>
                <w:sz w:val="1"/>
                <w:szCs w:val="1"/>
                <w:color w:val="auto"/>
              </w:rPr>
            </w:pPr>
          </w:p>
        </w:tc>
      </w:tr>
      <w:tr>
        <w:trPr>
          <w:trHeight w:val="91"/>
        </w:trPr>
        <w:tc>
          <w:tcPr>
            <w:tcW w:w="1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jc w:val="center"/>
              <w:spacing w:after="0" w:line="91" w:lineRule="exact"/>
              <w:rPr>
                <w:sz w:val="20"/>
                <w:szCs w:val="20"/>
                <w:color w:val="auto"/>
              </w:rPr>
            </w:pPr>
            <w:r>
              <w:rPr>
                <w:rFonts w:ascii="Arial" w:cs="Arial" w:eastAsia="Arial" w:hAnsi="Arial"/>
                <w:sz w:val="10"/>
                <w:szCs w:val="10"/>
                <w:b w:val="1"/>
                <w:bCs w:val="1"/>
                <w:color w:val="1A475F"/>
              </w:rPr>
              <w:t>Vesting of</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ind w:right="24"/>
              <w:spacing w:after="0"/>
              <w:rPr>
                <w:sz w:val="20"/>
                <w:szCs w:val="20"/>
                <w:color w:val="auto"/>
              </w:rPr>
            </w:pPr>
            <w:r>
              <w:rPr>
                <w:rFonts w:ascii="Arial" w:cs="Arial" w:eastAsia="Arial" w:hAnsi="Arial"/>
                <w:sz w:val="11"/>
                <w:szCs w:val="11"/>
                <w:b w:val="1"/>
                <w:bCs w:val="1"/>
                <w:color w:val="1A475F"/>
                <w:w w:val="95"/>
              </w:rPr>
              <w:t>Pro-Rata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1A475F"/>
              </w:rPr>
              <w:t>Salary 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1A475F"/>
                <w:w w:val="99"/>
              </w:rPr>
              <w:t>Medical</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1A475F"/>
              </w:rPr>
              <w:t>Equity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restart"/>
          </w:tcPr>
          <w:p>
            <w:pPr>
              <w:jc w:val="right"/>
              <w:ind w:right="4"/>
              <w:spacing w:after="0"/>
              <w:rPr>
                <w:sz w:val="20"/>
                <w:szCs w:val="20"/>
                <w:color w:val="auto"/>
              </w:rPr>
            </w:pPr>
            <w:r>
              <w:rPr>
                <w:rFonts w:ascii="Arial" w:cs="Arial" w:eastAsia="Arial" w:hAnsi="Arial"/>
                <w:sz w:val="11"/>
                <w:szCs w:val="11"/>
                <w:b w:val="1"/>
                <w:bCs w:val="1"/>
                <w:color w:val="1A475F"/>
                <w:w w:val="95"/>
              </w:rPr>
              <w:t>Pro-Rata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center"/>
              <w:ind w:right="123"/>
              <w:spacing w:after="0"/>
              <w:rPr>
                <w:sz w:val="20"/>
                <w:szCs w:val="20"/>
                <w:color w:val="auto"/>
              </w:rPr>
            </w:pPr>
            <w:r>
              <w:rPr>
                <w:rFonts w:ascii="Arial" w:cs="Arial" w:eastAsia="Arial" w:hAnsi="Arial"/>
                <w:sz w:val="11"/>
                <w:szCs w:val="11"/>
                <w:b w:val="1"/>
                <w:bCs w:val="1"/>
                <w:color w:val="1A475F"/>
              </w:rPr>
              <w:t>Salary</w:t>
            </w: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1A475F"/>
                <w:w w:val="97"/>
              </w:rPr>
              <w:t>Vesting of</w:t>
            </w:r>
          </w:p>
        </w:tc>
        <w:tc>
          <w:tcPr>
            <w:tcW w:w="10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1"/>
                <w:szCs w:val="11"/>
                <w:b w:val="1"/>
                <w:bCs w:val="1"/>
                <w:color w:val="1A475F"/>
                <w:w w:val="93"/>
              </w:rPr>
              <w:t>Garden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1A475F"/>
                <w:w w:val="95"/>
              </w:rPr>
              <w:t>Pro-Rata</w:t>
            </w: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1A475F"/>
                <w:w w:val="97"/>
              </w:rPr>
              <w:t>Vesting of</w:t>
            </w:r>
          </w:p>
        </w:tc>
        <w:tc>
          <w:tcPr>
            <w:tcW w:w="100" w:type="dxa"/>
            <w:vAlign w:val="bottom"/>
          </w:tcPr>
          <w:p>
            <w:pPr>
              <w:spacing w:after="0"/>
              <w:rPr>
                <w:sz w:val="11"/>
                <w:szCs w:val="11"/>
                <w:color w:val="auto"/>
              </w:rPr>
            </w:pPr>
          </w:p>
        </w:tc>
        <w:tc>
          <w:tcPr>
            <w:tcW w:w="660" w:type="dxa"/>
            <w:vAlign w:val="bottom"/>
          </w:tcPr>
          <w:p>
            <w:pPr>
              <w:jc w:val="center"/>
              <w:ind w:right="7"/>
              <w:spacing w:after="0"/>
              <w:rPr>
                <w:sz w:val="20"/>
                <w:szCs w:val="20"/>
                <w:color w:val="auto"/>
              </w:rPr>
            </w:pPr>
            <w:r>
              <w:rPr>
                <w:rFonts w:ascii="Arial" w:cs="Arial" w:eastAsia="Arial" w:hAnsi="Arial"/>
                <w:sz w:val="11"/>
                <w:szCs w:val="11"/>
                <w:b w:val="1"/>
                <w:bCs w:val="1"/>
                <w:color w:val="1A475F"/>
                <w:w w:val="97"/>
              </w:rPr>
              <w:t>Vesting of</w:t>
            </w:r>
          </w:p>
        </w:tc>
        <w:tc>
          <w:tcPr>
            <w:tcW w:w="0" w:type="dxa"/>
            <w:vAlign w:val="bottom"/>
          </w:tcPr>
          <w:p>
            <w:pPr>
              <w:spacing w:after="0"/>
              <w:rPr>
                <w:sz w:val="1"/>
                <w:szCs w:val="1"/>
                <w:color w:val="auto"/>
              </w:rPr>
            </w:pPr>
          </w:p>
        </w:tc>
      </w:tr>
      <w:tr>
        <w:trPr>
          <w:trHeight w:val="116"/>
        </w:trPr>
        <w:tc>
          <w:tcPr>
            <w:tcW w:w="1600" w:type="dxa"/>
            <w:vAlign w:val="bottom"/>
            <w:vMerge w:val="restart"/>
          </w:tcPr>
          <w:p>
            <w:pPr>
              <w:spacing w:after="0"/>
              <w:rPr>
                <w:sz w:val="20"/>
                <w:szCs w:val="20"/>
                <w:color w:val="auto"/>
              </w:rPr>
            </w:pPr>
            <w:r>
              <w:rPr>
                <w:rFonts w:ascii="Arial" w:cs="Arial" w:eastAsia="Arial" w:hAnsi="Arial"/>
                <w:sz w:val="11"/>
                <w:szCs w:val="11"/>
                <w:b w:val="1"/>
                <w:bCs w:val="1"/>
                <w:color w:val="1A475F"/>
              </w:rPr>
              <w:t>Name</w:t>
            </w: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100"/>
              <w:spacing w:after="0" w:line="116" w:lineRule="exact"/>
              <w:rPr>
                <w:sz w:val="20"/>
                <w:szCs w:val="20"/>
                <w:color w:val="auto"/>
              </w:rPr>
            </w:pPr>
            <w:r>
              <w:rPr>
                <w:rFonts w:ascii="Arial" w:cs="Arial" w:eastAsia="Arial" w:hAnsi="Arial"/>
                <w:sz w:val="11"/>
                <w:szCs w:val="11"/>
                <w:b w:val="1"/>
                <w:bCs w:val="1"/>
                <w:color w:val="1A475F"/>
              </w:rPr>
              <w:t>Bonus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16" w:lineRule="exact"/>
              <w:rPr>
                <w:sz w:val="20"/>
                <w:szCs w:val="20"/>
                <w:color w:val="auto"/>
              </w:rPr>
            </w:pPr>
            <w:r>
              <w:rPr>
                <w:rFonts w:ascii="Arial" w:cs="Arial" w:eastAsia="Arial" w:hAnsi="Arial"/>
                <w:sz w:val="11"/>
                <w:szCs w:val="11"/>
                <w:b w:val="1"/>
                <w:bCs w:val="1"/>
                <w:color w:val="1A475F"/>
                <w:w w:val="96"/>
              </w:rPr>
              <w:t>Benefits</w:t>
            </w:r>
          </w:p>
        </w:tc>
        <w:tc>
          <w:tcPr>
            <w:tcW w:w="62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w w:val="95"/>
              </w:rPr>
              <w:t>Awards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5"/>
              <w:spacing w:after="0" w:line="116" w:lineRule="exact"/>
              <w:rPr>
                <w:sz w:val="20"/>
                <w:szCs w:val="20"/>
                <w:color w:val="auto"/>
              </w:rPr>
            </w:pPr>
            <w:r>
              <w:rPr>
                <w:rFonts w:ascii="Arial" w:cs="Arial" w:eastAsia="Arial" w:hAnsi="Arial"/>
                <w:sz w:val="11"/>
                <w:szCs w:val="11"/>
                <w:b w:val="1"/>
                <w:bCs w:val="1"/>
                <w:color w:val="1A475F"/>
              </w:rPr>
              <w:t>Equity</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5"/>
              <w:spacing w:after="0" w:line="116" w:lineRule="exact"/>
              <w:rPr>
                <w:sz w:val="20"/>
                <w:szCs w:val="20"/>
                <w:color w:val="auto"/>
              </w:rPr>
            </w:pPr>
            <w:r>
              <w:rPr>
                <w:rFonts w:ascii="Arial" w:cs="Arial" w:eastAsia="Arial" w:hAnsi="Arial"/>
                <w:sz w:val="11"/>
                <w:szCs w:val="11"/>
                <w:b w:val="1"/>
                <w:bCs w:val="1"/>
                <w:color w:val="1A475F"/>
              </w:rPr>
              <w:t>Equity</w:t>
            </w:r>
          </w:p>
        </w:tc>
        <w:tc>
          <w:tcPr>
            <w:tcW w:w="10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Arial" w:cs="Arial" w:eastAsia="Arial" w:hAnsi="Arial"/>
                <w:sz w:val="11"/>
                <w:szCs w:val="11"/>
                <w:b w:val="1"/>
                <w:bCs w:val="1"/>
                <w:color w:val="1A475F"/>
              </w:rPr>
              <w:t>Equity</w:t>
            </w:r>
          </w:p>
        </w:tc>
        <w:tc>
          <w:tcPr>
            <w:tcW w:w="0" w:type="dxa"/>
            <w:vAlign w:val="bottom"/>
          </w:tcPr>
          <w:p>
            <w:pPr>
              <w:spacing w:after="0"/>
              <w:rPr>
                <w:sz w:val="1"/>
                <w:szCs w:val="1"/>
                <w:color w:val="auto"/>
              </w:rPr>
            </w:pPr>
          </w:p>
        </w:tc>
      </w:tr>
      <w:tr>
        <w:trPr>
          <w:trHeight w:val="104"/>
        </w:trPr>
        <w:tc>
          <w:tcPr>
            <w:tcW w:w="1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ind w:right="84"/>
              <w:spacing w:after="0" w:line="104" w:lineRule="exact"/>
              <w:rPr>
                <w:sz w:val="20"/>
                <w:szCs w:val="20"/>
                <w:color w:val="auto"/>
              </w:rPr>
            </w:pPr>
            <w:r>
              <w:rPr>
                <w:rFonts w:ascii="Arial" w:cs="Arial" w:eastAsia="Arial" w:hAnsi="Arial"/>
                <w:sz w:val="11"/>
                <w:szCs w:val="11"/>
                <w:b w:val="1"/>
                <w:bCs w:val="1"/>
                <w:color w:val="1A475F"/>
              </w:rPr>
              <w:t>Bonus</w:t>
            </w:r>
          </w:p>
        </w:tc>
        <w:tc>
          <w:tcPr>
            <w:tcW w:w="80" w:type="dxa"/>
            <w:vAlign w:val="bottom"/>
          </w:tcPr>
          <w:p>
            <w:pPr>
              <w:spacing w:after="0"/>
              <w:rPr>
                <w:sz w:val="9"/>
                <w:szCs w:val="9"/>
                <w:color w:val="auto"/>
              </w:rPr>
            </w:pPr>
          </w:p>
        </w:tc>
        <w:tc>
          <w:tcPr>
            <w:tcW w:w="680" w:type="dxa"/>
            <w:vAlign w:val="bottom"/>
            <w:gridSpan w:val="2"/>
          </w:tcPr>
          <w:p>
            <w:pPr>
              <w:spacing w:after="0" w:line="104" w:lineRule="exact"/>
              <w:rPr>
                <w:sz w:val="20"/>
                <w:szCs w:val="20"/>
                <w:color w:val="auto"/>
              </w:rPr>
            </w:pPr>
            <w:r>
              <w:rPr>
                <w:rFonts w:ascii="Arial" w:cs="Arial" w:eastAsia="Arial" w:hAnsi="Arial"/>
                <w:sz w:val="11"/>
                <w:szCs w:val="11"/>
                <w:b w:val="1"/>
                <w:bCs w:val="1"/>
                <w:color w:val="1A475F"/>
                <w:w w:val="97"/>
              </w:rPr>
              <w:t>Continuation</w:t>
            </w:r>
          </w:p>
        </w:tc>
        <w:tc>
          <w:tcPr>
            <w:tcW w:w="960" w:type="dxa"/>
            <w:vAlign w:val="bottom"/>
            <w:gridSpan w:val="4"/>
          </w:tcPr>
          <w:p>
            <w:pPr>
              <w:jc w:val="center"/>
              <w:spacing w:after="0" w:line="105" w:lineRule="exact"/>
              <w:rPr>
                <w:sz w:val="20"/>
                <w:szCs w:val="20"/>
                <w:color w:val="auto"/>
              </w:rPr>
            </w:pPr>
            <w:r>
              <w:rPr>
                <w:rFonts w:ascii="Arial" w:cs="Arial" w:eastAsia="Arial" w:hAnsi="Arial"/>
                <w:sz w:val="8"/>
                <w:szCs w:val="8"/>
                <w:b w:val="1"/>
                <w:bCs w:val="1"/>
                <w:color w:val="1A475F"/>
              </w:rPr>
              <w:t>Continuation</w:t>
            </w:r>
            <w:r>
              <w:rPr>
                <w:rFonts w:ascii="Arial" w:cs="Arial" w:eastAsia="Arial" w:hAnsi="Arial"/>
                <w:sz w:val="12"/>
                <w:szCs w:val="12"/>
                <w:b w:val="1"/>
                <w:bCs w:val="1"/>
                <w:color w:val="1A475F"/>
                <w:vertAlign w:val="superscript"/>
              </w:rPr>
              <w:t>(1)</w:t>
            </w:r>
          </w:p>
        </w:tc>
        <w:tc>
          <w:tcPr>
            <w:tcW w:w="620" w:type="dxa"/>
            <w:vAlign w:val="bottom"/>
          </w:tcPr>
          <w:p>
            <w:pPr>
              <w:jc w:val="center"/>
              <w:spacing w:after="0"/>
              <w:rPr>
                <w:sz w:val="20"/>
                <w:szCs w:val="20"/>
                <w:color w:val="auto"/>
              </w:rPr>
            </w:pPr>
            <w:r>
              <w:rPr>
                <w:rFonts w:ascii="Arial" w:cs="Arial" w:eastAsia="Arial" w:hAnsi="Arial"/>
                <w:sz w:val="8"/>
                <w:szCs w:val="8"/>
                <w:b w:val="1"/>
                <w:bCs w:val="1"/>
                <w:color w:val="1A475F"/>
              </w:rPr>
              <w:t>(2)(3)(4)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64"/>
              <w:spacing w:after="0" w:line="104" w:lineRule="exact"/>
              <w:rPr>
                <w:sz w:val="20"/>
                <w:szCs w:val="20"/>
                <w:color w:val="auto"/>
              </w:rPr>
            </w:pPr>
            <w:r>
              <w:rPr>
                <w:rFonts w:ascii="Arial" w:cs="Arial" w:eastAsia="Arial" w:hAnsi="Arial"/>
                <w:sz w:val="11"/>
                <w:szCs w:val="11"/>
                <w:b w:val="1"/>
                <w:bCs w:val="1"/>
                <w:color w:val="1A475F"/>
              </w:rPr>
              <w:t>Bonus</w:t>
            </w:r>
          </w:p>
        </w:tc>
        <w:tc>
          <w:tcPr>
            <w:tcW w:w="860" w:type="dxa"/>
            <w:vAlign w:val="bottom"/>
            <w:gridSpan w:val="3"/>
          </w:tcPr>
          <w:p>
            <w:pPr>
              <w:jc w:val="center"/>
              <w:spacing w:after="0" w:line="104" w:lineRule="exact"/>
              <w:rPr>
                <w:sz w:val="20"/>
                <w:szCs w:val="20"/>
                <w:color w:val="auto"/>
              </w:rPr>
            </w:pPr>
            <w:r>
              <w:rPr>
                <w:rFonts w:ascii="Arial" w:cs="Arial" w:eastAsia="Arial" w:hAnsi="Arial"/>
                <w:sz w:val="11"/>
                <w:szCs w:val="11"/>
                <w:b w:val="1"/>
                <w:bCs w:val="1"/>
                <w:color w:val="1A475F"/>
                <w:w w:val="97"/>
              </w:rPr>
              <w:t>Continuation</w:t>
            </w:r>
          </w:p>
        </w:tc>
        <w:tc>
          <w:tcPr>
            <w:tcW w:w="60" w:type="dxa"/>
            <w:vAlign w:val="bottom"/>
          </w:tcPr>
          <w:p>
            <w:pPr>
              <w:spacing w:after="0"/>
              <w:rPr>
                <w:sz w:val="9"/>
                <w:szCs w:val="9"/>
                <w:color w:val="auto"/>
              </w:rPr>
            </w:pPr>
          </w:p>
        </w:tc>
        <w:tc>
          <w:tcPr>
            <w:tcW w:w="560" w:type="dxa"/>
            <w:vAlign w:val="bottom"/>
          </w:tcPr>
          <w:p>
            <w:pPr>
              <w:jc w:val="center"/>
              <w:ind w:right="25"/>
              <w:spacing w:after="0" w:line="105" w:lineRule="exact"/>
              <w:rPr>
                <w:sz w:val="20"/>
                <w:szCs w:val="20"/>
                <w:color w:val="auto"/>
              </w:rPr>
            </w:pPr>
            <w:r>
              <w:rPr>
                <w:rFonts w:ascii="Arial" w:cs="Arial" w:eastAsia="Arial" w:hAnsi="Arial"/>
                <w:sz w:val="8"/>
                <w:szCs w:val="8"/>
                <w:b w:val="1"/>
                <w:bCs w:val="1"/>
                <w:color w:val="1A475F"/>
              </w:rPr>
              <w:t>Awards</w:t>
            </w:r>
            <w:r>
              <w:rPr>
                <w:rFonts w:ascii="Arial" w:cs="Arial" w:eastAsia="Arial" w:hAnsi="Arial"/>
                <w:sz w:val="12"/>
                <w:szCs w:val="12"/>
                <w:b w:val="1"/>
                <w:bCs w:val="1"/>
                <w:color w:val="1A475F"/>
                <w:vertAlign w:val="superscript"/>
              </w:rPr>
              <w:t>(5)</w:t>
            </w:r>
          </w:p>
        </w:tc>
        <w:tc>
          <w:tcPr>
            <w:tcW w:w="100" w:type="dxa"/>
            <w:vAlign w:val="bottom"/>
          </w:tcPr>
          <w:p>
            <w:pPr>
              <w:spacing w:after="0"/>
              <w:rPr>
                <w:sz w:val="9"/>
                <w:szCs w:val="9"/>
                <w:color w:val="auto"/>
              </w:rPr>
            </w:pPr>
          </w:p>
        </w:tc>
        <w:tc>
          <w:tcPr>
            <w:tcW w:w="480" w:type="dxa"/>
            <w:vAlign w:val="bottom"/>
          </w:tcPr>
          <w:p>
            <w:pPr>
              <w:jc w:val="center"/>
              <w:spacing w:after="0" w:line="105" w:lineRule="exact"/>
              <w:rPr>
                <w:sz w:val="20"/>
                <w:szCs w:val="20"/>
                <w:color w:val="auto"/>
              </w:rPr>
            </w:pPr>
            <w:r>
              <w:rPr>
                <w:rFonts w:ascii="Arial" w:cs="Arial" w:eastAsia="Arial" w:hAnsi="Arial"/>
                <w:sz w:val="8"/>
                <w:szCs w:val="8"/>
                <w:b w:val="1"/>
                <w:bCs w:val="1"/>
                <w:color w:val="1A475F"/>
              </w:rPr>
              <w:t>Leave</w:t>
            </w:r>
            <w:r>
              <w:rPr>
                <w:rFonts w:ascii="Arial" w:cs="Arial" w:eastAsia="Arial" w:hAnsi="Arial"/>
                <w:sz w:val="12"/>
                <w:szCs w:val="12"/>
                <w:b w:val="1"/>
                <w:bCs w:val="1"/>
                <w:color w:val="1A475F"/>
                <w:vertAlign w:val="superscript"/>
              </w:rPr>
              <w:t>(6)</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80"/>
              <w:spacing w:after="0" w:line="104" w:lineRule="exact"/>
              <w:rPr>
                <w:sz w:val="20"/>
                <w:szCs w:val="20"/>
                <w:color w:val="auto"/>
              </w:rPr>
            </w:pPr>
            <w:r>
              <w:rPr>
                <w:rFonts w:ascii="Arial" w:cs="Arial" w:eastAsia="Arial" w:hAnsi="Arial"/>
                <w:sz w:val="11"/>
                <w:szCs w:val="11"/>
                <w:b w:val="1"/>
                <w:bCs w:val="1"/>
                <w:color w:val="1A475F"/>
                <w:w w:val="93"/>
              </w:rPr>
              <w:t>Bonus</w:t>
            </w:r>
          </w:p>
        </w:tc>
        <w:tc>
          <w:tcPr>
            <w:tcW w:w="60" w:type="dxa"/>
            <w:vAlign w:val="bottom"/>
          </w:tcPr>
          <w:p>
            <w:pPr>
              <w:spacing w:after="0"/>
              <w:rPr>
                <w:sz w:val="9"/>
                <w:szCs w:val="9"/>
                <w:color w:val="auto"/>
              </w:rPr>
            </w:pPr>
          </w:p>
        </w:tc>
        <w:tc>
          <w:tcPr>
            <w:tcW w:w="560" w:type="dxa"/>
            <w:vAlign w:val="bottom"/>
          </w:tcPr>
          <w:p>
            <w:pPr>
              <w:jc w:val="center"/>
              <w:ind w:right="5"/>
              <w:spacing w:after="0" w:line="105" w:lineRule="exact"/>
              <w:rPr>
                <w:sz w:val="20"/>
                <w:szCs w:val="20"/>
                <w:color w:val="auto"/>
              </w:rPr>
            </w:pPr>
            <w:r>
              <w:rPr>
                <w:rFonts w:ascii="Arial" w:cs="Arial" w:eastAsia="Arial" w:hAnsi="Arial"/>
                <w:sz w:val="8"/>
                <w:szCs w:val="8"/>
                <w:b w:val="1"/>
                <w:bCs w:val="1"/>
                <w:color w:val="1A475F"/>
              </w:rPr>
              <w:t>Awards</w:t>
            </w:r>
            <w:r>
              <w:rPr>
                <w:rFonts w:ascii="Arial" w:cs="Arial" w:eastAsia="Arial" w:hAnsi="Arial"/>
                <w:sz w:val="12"/>
                <w:szCs w:val="12"/>
                <w:b w:val="1"/>
                <w:bCs w:val="1"/>
                <w:color w:val="1A475F"/>
                <w:vertAlign w:val="superscript"/>
              </w:rPr>
              <w:t>(7)</w:t>
            </w:r>
          </w:p>
        </w:tc>
        <w:tc>
          <w:tcPr>
            <w:tcW w:w="100" w:type="dxa"/>
            <w:vAlign w:val="bottom"/>
          </w:tcPr>
          <w:p>
            <w:pPr>
              <w:spacing w:after="0"/>
              <w:rPr>
                <w:sz w:val="9"/>
                <w:szCs w:val="9"/>
                <w:color w:val="auto"/>
              </w:rPr>
            </w:pPr>
          </w:p>
        </w:tc>
        <w:tc>
          <w:tcPr>
            <w:tcW w:w="660" w:type="dxa"/>
            <w:vAlign w:val="bottom"/>
          </w:tcPr>
          <w:p>
            <w:pPr>
              <w:jc w:val="center"/>
              <w:ind w:right="7"/>
              <w:spacing w:after="0" w:line="105" w:lineRule="exact"/>
              <w:rPr>
                <w:sz w:val="20"/>
                <w:szCs w:val="20"/>
                <w:color w:val="auto"/>
              </w:rPr>
            </w:pPr>
            <w:r>
              <w:rPr>
                <w:rFonts w:ascii="Arial" w:cs="Arial" w:eastAsia="Arial" w:hAnsi="Arial"/>
                <w:sz w:val="8"/>
                <w:szCs w:val="8"/>
                <w:b w:val="1"/>
                <w:bCs w:val="1"/>
                <w:color w:val="1A475F"/>
              </w:rPr>
              <w:t>Awards</w:t>
            </w:r>
            <w:r>
              <w:rPr>
                <w:rFonts w:ascii="Arial" w:cs="Arial" w:eastAsia="Arial" w:hAnsi="Arial"/>
                <w:sz w:val="12"/>
                <w:szCs w:val="12"/>
                <w:b w:val="1"/>
                <w:bCs w:val="1"/>
                <w:color w:val="1A475F"/>
                <w:vertAlign w:val="superscript"/>
              </w:rPr>
              <w:t>(8)</w:t>
            </w:r>
          </w:p>
        </w:tc>
        <w:tc>
          <w:tcPr>
            <w:tcW w:w="0" w:type="dxa"/>
            <w:vAlign w:val="bottom"/>
          </w:tcPr>
          <w:p>
            <w:pPr>
              <w:spacing w:after="0"/>
              <w:rPr>
                <w:sz w:val="1"/>
                <w:szCs w:val="1"/>
                <w:color w:val="auto"/>
              </w:rPr>
            </w:pPr>
          </w:p>
        </w:tc>
      </w:tr>
      <w:tr>
        <w:trPr>
          <w:trHeight w:val="20"/>
        </w:trPr>
        <w:tc>
          <w:tcPr>
            <w:tcW w:w="16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600" w:type="dxa"/>
            <w:vAlign w:val="bottom"/>
            <w:tcBorders>
              <w:right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1A475F"/>
              </w:rPr>
              <w:t>Stephen H. Kramer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5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1A475F"/>
                <w:w w:val="93"/>
              </w:rPr>
              <w:t>1,095,668</w:t>
            </w:r>
          </w:p>
        </w:tc>
        <w:tc>
          <w:tcPr>
            <w:tcW w:w="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1A475F"/>
                <w:w w:val="71"/>
              </w:rPr>
              <w:t>$</w:t>
            </w:r>
          </w:p>
        </w:tc>
        <w:tc>
          <w:tcPr>
            <w:tcW w:w="620" w:type="dxa"/>
            <w:vAlign w:val="bottom"/>
            <w:shd w:val="clear" w:color="auto" w:fill="CCEEFF"/>
          </w:tcPr>
          <w:p>
            <w:pPr>
              <w:ind w:left="100"/>
              <w:spacing w:after="0" w:line="119" w:lineRule="exact"/>
              <w:rPr>
                <w:sz w:val="20"/>
                <w:szCs w:val="20"/>
                <w:color w:val="auto"/>
              </w:rPr>
            </w:pPr>
            <w:r>
              <w:rPr>
                <w:rFonts w:ascii="Arial" w:cs="Arial" w:eastAsia="Arial" w:hAnsi="Arial"/>
                <w:sz w:val="12"/>
                <w:szCs w:val="12"/>
                <w:color w:val="1A475F"/>
                <w:w w:val="93"/>
              </w:rPr>
              <w:t>3,443,565</w:t>
            </w:r>
          </w:p>
        </w:tc>
        <w:tc>
          <w:tcPr>
            <w:tcW w:w="1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1A475F"/>
              </w:rPr>
              <w:t>110,229</w:t>
            </w:r>
          </w:p>
        </w:tc>
        <w:tc>
          <w:tcPr>
            <w:tcW w:w="10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1A475F"/>
                <w:w w:val="99"/>
              </w:rPr>
              <w:t>$7,967,071</w:t>
            </w:r>
          </w:p>
        </w:tc>
        <w:tc>
          <w:tcPr>
            <w:tcW w:w="1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1A475F"/>
                <w:w w:val="93"/>
              </w:rPr>
              <w:t>1,095,668</w:t>
            </w:r>
          </w:p>
        </w:tc>
        <w:tc>
          <w:tcPr>
            <w:tcW w:w="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680" w:type="dxa"/>
            <w:vAlign w:val="bottom"/>
            <w:tcBorders>
              <w:right w:val="single" w:sz="8" w:color="CCEEFF"/>
            </w:tcBorders>
            <w:shd w:val="clear" w:color="auto" w:fill="CCEEFF"/>
          </w:tcPr>
          <w:p>
            <w:pPr>
              <w:jc w:val="right"/>
              <w:ind w:right="43"/>
              <w:spacing w:after="0" w:line="119" w:lineRule="exact"/>
              <w:rPr>
                <w:sz w:val="20"/>
                <w:szCs w:val="20"/>
                <w:color w:val="auto"/>
              </w:rPr>
            </w:pPr>
            <w:r>
              <w:rPr>
                <w:rFonts w:ascii="Arial" w:cs="Arial" w:eastAsia="Arial" w:hAnsi="Arial"/>
                <w:sz w:val="12"/>
                <w:szCs w:val="12"/>
                <w:color w:val="1A475F"/>
              </w:rPr>
              <w:t>699,660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1A475F"/>
                <w:w w:val="71"/>
              </w:rPr>
              <w:t>$</w:t>
            </w:r>
          </w:p>
        </w:tc>
        <w:tc>
          <w:tcPr>
            <w:tcW w:w="5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1A475F"/>
              </w:rPr>
              <w:t>1,876,204</w:t>
            </w:r>
          </w:p>
        </w:tc>
        <w:tc>
          <w:tcPr>
            <w:tcW w:w="100" w:type="dxa"/>
            <w:vAlign w:val="bottom"/>
            <w:vMerge w:val="continue"/>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1A475F"/>
                <w:w w:val="91"/>
              </w:rPr>
              <w:t>— </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1A475F"/>
                <w:w w:val="81"/>
              </w:rPr>
              <w:t>  </w:t>
            </w:r>
          </w:p>
        </w:tc>
        <w:tc>
          <w:tcPr>
            <w:tcW w:w="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1A475F"/>
                <w:w w:val="93"/>
              </w:rPr>
              <w:t>1,095,668</w:t>
            </w:r>
          </w:p>
        </w:tc>
        <w:tc>
          <w:tcPr>
            <w:tcW w:w="1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5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1A475F"/>
              </w:rPr>
              <w:t>1,876,204</w:t>
            </w:r>
          </w:p>
        </w:tc>
        <w:tc>
          <w:tcPr>
            <w:tcW w:w="100" w:type="dxa"/>
            <w:vAlign w:val="bottom"/>
            <w:vMerge w:val="continue"/>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jc w:val="center"/>
              <w:spacing w:after="0" w:line="119" w:lineRule="exact"/>
              <w:rPr>
                <w:sz w:val="20"/>
                <w:szCs w:val="20"/>
                <w:color w:val="auto"/>
              </w:rPr>
            </w:pPr>
            <w:r>
              <w:rPr>
                <w:rFonts w:ascii="Arial" w:cs="Arial" w:eastAsia="Arial" w:hAnsi="Arial"/>
                <w:sz w:val="12"/>
                <w:szCs w:val="12"/>
                <w:color w:val="1A475F"/>
                <w:w w:val="97"/>
              </w:rPr>
              <w:t>$ 7,967,071</w:t>
            </w:r>
          </w:p>
        </w:tc>
        <w:tc>
          <w:tcPr>
            <w:tcW w:w="0" w:type="dxa"/>
            <w:vAlign w:val="bottom"/>
          </w:tcPr>
          <w:p>
            <w:pPr>
              <w:spacing w:after="0"/>
              <w:rPr>
                <w:sz w:val="1"/>
                <w:szCs w:val="1"/>
                <w:color w:val="auto"/>
              </w:rPr>
            </w:pPr>
          </w:p>
        </w:tc>
      </w:tr>
      <w:tr>
        <w:trPr>
          <w:trHeight w:val="127"/>
        </w:trPr>
        <w:tc>
          <w:tcPr>
            <w:tcW w:w="1600" w:type="dxa"/>
            <w:vAlign w:val="bottom"/>
          </w:tcPr>
          <w:p>
            <w:pPr>
              <w:spacing w:after="0" w:line="128" w:lineRule="exact"/>
              <w:rPr>
                <w:sz w:val="20"/>
                <w:szCs w:val="20"/>
                <w:color w:val="auto"/>
              </w:rPr>
            </w:pPr>
            <w:r>
              <w:rPr>
                <w:rFonts w:ascii="Arial" w:cs="Arial" w:eastAsia="Arial" w:hAnsi="Arial"/>
                <w:sz w:val="12"/>
                <w:szCs w:val="12"/>
                <w:color w:val="1A475F"/>
              </w:rPr>
              <w:t>Elizabeth J. Boland</w:t>
            </w:r>
          </w:p>
        </w:tc>
        <w:tc>
          <w:tcPr>
            <w:tcW w:w="60" w:type="dxa"/>
            <w:vAlign w:val="bottom"/>
          </w:tcPr>
          <w:p>
            <w:pPr>
              <w:jc w:val="right"/>
              <w:spacing w:after="0"/>
              <w:rPr>
                <w:sz w:val="20"/>
                <w:szCs w:val="20"/>
                <w:color w:val="auto"/>
              </w:rPr>
            </w:pPr>
            <w:r>
              <w:rPr>
                <w:rFonts w:ascii="Arial" w:cs="Arial" w:eastAsia="Arial" w:hAnsi="Arial"/>
                <w:sz w:val="10"/>
                <w:szCs w:val="10"/>
                <w:color w:val="1A475F"/>
                <w:w w:val="71"/>
              </w:rPr>
              <w:t>$</w:t>
            </w: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1A475F"/>
              </w:rPr>
              <w:t>465,005</w:t>
            </w:r>
          </w:p>
        </w:tc>
        <w:tc>
          <w:tcPr>
            <w:tcW w:w="140" w:type="dxa"/>
            <w:vAlign w:val="bottom"/>
            <w:gridSpan w:val="2"/>
          </w:tcPr>
          <w:p>
            <w:pPr>
              <w:ind w:left="80"/>
              <w:spacing w:after="0"/>
              <w:rPr>
                <w:sz w:val="20"/>
                <w:szCs w:val="20"/>
                <w:color w:val="auto"/>
              </w:rPr>
            </w:pPr>
            <w:r>
              <w:rPr>
                <w:rFonts w:ascii="Arial" w:cs="Arial" w:eastAsia="Arial" w:hAnsi="Arial"/>
                <w:sz w:val="10"/>
                <w:szCs w:val="10"/>
                <w:color w:val="1A475F"/>
                <w:w w:val="71"/>
              </w:rPr>
              <w:t>$</w:t>
            </w:r>
          </w:p>
        </w:tc>
        <w:tc>
          <w:tcPr>
            <w:tcW w:w="620" w:type="dxa"/>
            <w:vAlign w:val="bottom"/>
          </w:tcPr>
          <w:p>
            <w:pPr>
              <w:ind w:left="100"/>
              <w:spacing w:after="0" w:line="128" w:lineRule="exact"/>
              <w:rPr>
                <w:sz w:val="20"/>
                <w:szCs w:val="20"/>
                <w:color w:val="auto"/>
              </w:rPr>
            </w:pPr>
            <w:r>
              <w:rPr>
                <w:rFonts w:ascii="Arial" w:cs="Arial" w:eastAsia="Arial" w:hAnsi="Arial"/>
                <w:sz w:val="12"/>
                <w:szCs w:val="12"/>
                <w:color w:val="1A475F"/>
                <w:w w:val="93"/>
              </w:rPr>
              <w:t>1,723,565</w:t>
            </w:r>
          </w:p>
        </w:tc>
        <w:tc>
          <w:tcPr>
            <w:tcW w:w="200" w:type="dxa"/>
            <w:vAlign w:val="bottom"/>
            <w:gridSpan w:val="2"/>
          </w:tcPr>
          <w:p>
            <w:pPr>
              <w:jc w:val="right"/>
              <w:spacing w:after="0" w:line="128" w:lineRule="exact"/>
              <w:rPr>
                <w:sz w:val="20"/>
                <w:szCs w:val="20"/>
                <w:color w:val="auto"/>
              </w:rPr>
            </w:pPr>
            <w:r>
              <w:rPr>
                <w:rFonts w:ascii="Arial" w:cs="Arial" w:eastAsia="Arial" w:hAnsi="Arial"/>
                <w:sz w:val="12"/>
                <w:szCs w:val="12"/>
                <w:color w:val="1A475F"/>
              </w:rPr>
              <w:t>$</w:t>
            </w: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1A475F"/>
              </w:rPr>
              <w:t>46,481</w:t>
            </w:r>
          </w:p>
        </w:tc>
        <w:tc>
          <w:tcPr>
            <w:tcW w:w="10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1A475F"/>
                <w:w w:val="99"/>
              </w:rPr>
              <w:t>$2,503,968</w:t>
            </w:r>
          </w:p>
        </w:tc>
        <w:tc>
          <w:tcPr>
            <w:tcW w:w="160" w:type="dxa"/>
            <w:vAlign w:val="bottom"/>
            <w:gridSpan w:val="2"/>
          </w:tcPr>
          <w:p>
            <w:pPr>
              <w:jc w:val="right"/>
              <w:spacing w:after="0" w:line="128" w:lineRule="exact"/>
              <w:rPr>
                <w:sz w:val="20"/>
                <w:szCs w:val="20"/>
                <w:color w:val="auto"/>
              </w:rPr>
            </w:pPr>
            <w:r>
              <w:rPr>
                <w:rFonts w:ascii="Arial" w:cs="Arial" w:eastAsia="Arial" w:hAnsi="Arial"/>
                <w:sz w:val="12"/>
                <w:szCs w:val="12"/>
                <w:color w:val="1A475F"/>
              </w:rPr>
              <w:t>$</w:t>
            </w:r>
          </w:p>
        </w:tc>
        <w:tc>
          <w:tcPr>
            <w:tcW w:w="520" w:type="dxa"/>
            <w:vAlign w:val="bottom"/>
          </w:tcPr>
          <w:p>
            <w:pPr>
              <w:jc w:val="right"/>
              <w:spacing w:after="0" w:line="128" w:lineRule="exact"/>
              <w:rPr>
                <w:sz w:val="20"/>
                <w:szCs w:val="20"/>
                <w:color w:val="auto"/>
              </w:rPr>
            </w:pPr>
            <w:r>
              <w:rPr>
                <w:rFonts w:ascii="Arial" w:cs="Arial" w:eastAsia="Arial" w:hAnsi="Arial"/>
                <w:sz w:val="12"/>
                <w:szCs w:val="12"/>
                <w:color w:val="1A475F"/>
              </w:rPr>
              <w:t>465,005</w:t>
            </w:r>
          </w:p>
        </w:tc>
        <w:tc>
          <w:tcPr>
            <w:tcW w:w="180" w:type="dxa"/>
            <w:vAlign w:val="bottom"/>
            <w:gridSpan w:val="2"/>
          </w:tcPr>
          <w:p>
            <w:pPr>
              <w:jc w:val="right"/>
              <w:spacing w:after="0" w:line="128" w:lineRule="exact"/>
              <w:rPr>
                <w:sz w:val="20"/>
                <w:szCs w:val="20"/>
                <w:color w:val="auto"/>
              </w:rPr>
            </w:pPr>
            <w:r>
              <w:rPr>
                <w:rFonts w:ascii="Arial" w:cs="Arial" w:eastAsia="Arial" w:hAnsi="Arial"/>
                <w:sz w:val="12"/>
                <w:szCs w:val="12"/>
                <w:color w:val="1A475F"/>
              </w:rPr>
              <w:t>$</w:t>
            </w:r>
          </w:p>
        </w:tc>
        <w:tc>
          <w:tcPr>
            <w:tcW w:w="680" w:type="dxa"/>
            <w:vAlign w:val="bottom"/>
          </w:tcPr>
          <w:p>
            <w:pPr>
              <w:jc w:val="right"/>
              <w:ind w:right="43"/>
              <w:spacing w:after="0" w:line="128" w:lineRule="exact"/>
              <w:rPr>
                <w:sz w:val="20"/>
                <w:szCs w:val="20"/>
                <w:color w:val="auto"/>
              </w:rPr>
            </w:pPr>
            <w:r>
              <w:rPr>
                <w:rFonts w:ascii="Arial" w:cs="Arial" w:eastAsia="Arial" w:hAnsi="Arial"/>
                <w:sz w:val="12"/>
                <w:szCs w:val="12"/>
                <w:color w:val="1A475F"/>
              </w:rPr>
              <w:t>430,560</w:t>
            </w:r>
          </w:p>
        </w:tc>
        <w:tc>
          <w:tcPr>
            <w:tcW w:w="60" w:type="dxa"/>
            <w:vAlign w:val="bottom"/>
          </w:tcPr>
          <w:p>
            <w:pPr>
              <w:spacing w:after="0"/>
              <w:rPr>
                <w:sz w:val="20"/>
                <w:szCs w:val="20"/>
                <w:color w:val="auto"/>
              </w:rPr>
            </w:pPr>
            <w:r>
              <w:rPr>
                <w:rFonts w:ascii="Arial" w:cs="Arial" w:eastAsia="Arial" w:hAnsi="Arial"/>
                <w:sz w:val="10"/>
                <w:szCs w:val="10"/>
                <w:color w:val="1A475F"/>
                <w:w w:val="71"/>
              </w:rPr>
              <w:t>$</w:t>
            </w: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1A475F"/>
              </w:rPr>
              <w:t>589,675</w:t>
            </w:r>
          </w:p>
        </w:tc>
        <w:tc>
          <w:tcPr>
            <w:tcW w:w="100" w:type="dxa"/>
            <w:vAlign w:val="bottom"/>
          </w:tcPr>
          <w:p>
            <w:pPr>
              <w:spacing w:after="0"/>
              <w:rPr>
                <w:sz w:val="11"/>
                <w:szCs w:val="11"/>
                <w:color w:val="auto"/>
              </w:rPr>
            </w:pPr>
          </w:p>
        </w:tc>
        <w:tc>
          <w:tcPr>
            <w:tcW w:w="480" w:type="dxa"/>
            <w:vAlign w:val="bottom"/>
          </w:tcPr>
          <w:p>
            <w:pPr>
              <w:ind w:left="220"/>
              <w:spacing w:after="0" w:line="128" w:lineRule="exact"/>
              <w:rPr>
                <w:sz w:val="20"/>
                <w:szCs w:val="20"/>
                <w:color w:val="auto"/>
              </w:rPr>
            </w:pPr>
            <w:r>
              <w:rPr>
                <w:rFonts w:ascii="Arial" w:cs="Arial" w:eastAsia="Arial" w:hAnsi="Arial"/>
                <w:sz w:val="12"/>
                <w:szCs w:val="12"/>
                <w:color w:val="1A475F"/>
                <w:w w:val="91"/>
              </w:rPr>
              <w:t>— </w:t>
            </w:r>
          </w:p>
        </w:tc>
        <w:tc>
          <w:tcPr>
            <w:tcW w:w="40" w:type="dxa"/>
            <w:vAlign w:val="bottom"/>
          </w:tcPr>
          <w:p>
            <w:pPr>
              <w:spacing w:after="0"/>
              <w:rPr>
                <w:sz w:val="20"/>
                <w:szCs w:val="20"/>
                <w:color w:val="auto"/>
              </w:rPr>
            </w:pPr>
            <w:r>
              <w:rPr>
                <w:rFonts w:ascii="Arial" w:cs="Arial" w:eastAsia="Arial" w:hAnsi="Arial"/>
                <w:sz w:val="5"/>
                <w:szCs w:val="5"/>
                <w:color w:val="1A475F"/>
                <w:w w:val="81"/>
              </w:rPr>
              <w:t>  </w:t>
            </w: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1A475F"/>
              </w:rPr>
              <w:t>$</w:t>
            </w:r>
          </w:p>
        </w:tc>
        <w:tc>
          <w:tcPr>
            <w:tcW w:w="520" w:type="dxa"/>
            <w:vAlign w:val="bottom"/>
          </w:tcPr>
          <w:p>
            <w:pPr>
              <w:jc w:val="right"/>
              <w:spacing w:after="0" w:line="128" w:lineRule="exact"/>
              <w:rPr>
                <w:sz w:val="20"/>
                <w:szCs w:val="20"/>
                <w:color w:val="auto"/>
              </w:rPr>
            </w:pPr>
            <w:r>
              <w:rPr>
                <w:rFonts w:ascii="Arial" w:cs="Arial" w:eastAsia="Arial" w:hAnsi="Arial"/>
                <w:sz w:val="12"/>
                <w:szCs w:val="12"/>
                <w:color w:val="1A475F"/>
              </w:rPr>
              <w:t>465,005</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1A475F"/>
                <w:w w:val="71"/>
              </w:rPr>
              <w:t>$</w:t>
            </w: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1A475F"/>
              </w:rPr>
              <w:t>589,675</w:t>
            </w:r>
          </w:p>
        </w:tc>
        <w:tc>
          <w:tcPr>
            <w:tcW w:w="760" w:type="dxa"/>
            <w:vAlign w:val="bottom"/>
            <w:gridSpan w:val="2"/>
          </w:tcPr>
          <w:p>
            <w:pPr>
              <w:jc w:val="center"/>
              <w:ind w:left="3"/>
              <w:spacing w:after="0" w:line="128" w:lineRule="exact"/>
              <w:rPr>
                <w:sz w:val="20"/>
                <w:szCs w:val="20"/>
                <w:color w:val="auto"/>
              </w:rPr>
            </w:pPr>
            <w:r>
              <w:rPr>
                <w:rFonts w:ascii="Arial" w:cs="Arial" w:eastAsia="Arial" w:hAnsi="Arial"/>
                <w:sz w:val="12"/>
                <w:szCs w:val="12"/>
                <w:color w:val="1A475F"/>
                <w:w w:val="97"/>
              </w:rPr>
              <w:t>$ 2,503,968</w:t>
            </w:r>
          </w:p>
        </w:tc>
        <w:tc>
          <w:tcPr>
            <w:tcW w:w="0" w:type="dxa"/>
            <w:vAlign w:val="bottom"/>
          </w:tcPr>
          <w:p>
            <w:pPr>
              <w:spacing w:after="0"/>
              <w:rPr>
                <w:sz w:val="1"/>
                <w:szCs w:val="1"/>
                <w:color w:val="auto"/>
              </w:rPr>
            </w:pPr>
          </w:p>
        </w:tc>
      </w:tr>
      <w:tr>
        <w:trPr>
          <w:trHeight w:val="127"/>
        </w:trPr>
        <w:tc>
          <w:tcPr>
            <w:tcW w:w="1600" w:type="dxa"/>
            <w:vAlign w:val="bottom"/>
            <w:tcBorders>
              <w:right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1A475F"/>
              </w:rPr>
              <w:t>Mary Lou Burke Afonso</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465,005</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1A475F"/>
                <w:w w:val="71"/>
              </w:rPr>
              <w:t>$</w:t>
            </w:r>
          </w:p>
        </w:tc>
        <w:tc>
          <w:tcPr>
            <w:tcW w:w="6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1A475F"/>
                <w:w w:val="93"/>
              </w:rPr>
              <w:t>1,723,565</w:t>
            </w:r>
          </w:p>
        </w:tc>
        <w:tc>
          <w:tcPr>
            <w:tcW w:w="2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1A475F"/>
              </w:rPr>
              <w:t>$</w:t>
            </w: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110,229</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w w:val="99"/>
              </w:rPr>
              <w:t>$2,503,968</w:t>
            </w:r>
          </w:p>
        </w:tc>
        <w:tc>
          <w:tcPr>
            <w:tcW w:w="1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1A475F"/>
              </w:rPr>
              <w:t>$</w:t>
            </w: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465,005</w:t>
            </w:r>
          </w:p>
        </w:tc>
        <w:tc>
          <w:tcPr>
            <w:tcW w:w="1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1A475F"/>
              </w:rPr>
              <w:t>$</w:t>
            </w:r>
          </w:p>
        </w:tc>
        <w:tc>
          <w:tcPr>
            <w:tcW w:w="680" w:type="dxa"/>
            <w:vAlign w:val="bottom"/>
            <w:tcBorders>
              <w:right w:val="single" w:sz="8" w:color="CCEEFF"/>
            </w:tcBorders>
            <w:shd w:val="clear" w:color="auto" w:fill="CCEEFF"/>
          </w:tcPr>
          <w:p>
            <w:pPr>
              <w:jc w:val="right"/>
              <w:ind w:right="43"/>
              <w:spacing w:after="0" w:line="128" w:lineRule="exact"/>
              <w:rPr>
                <w:sz w:val="20"/>
                <w:szCs w:val="20"/>
                <w:color w:val="auto"/>
              </w:rPr>
            </w:pPr>
            <w:r>
              <w:rPr>
                <w:rFonts w:ascii="Arial" w:cs="Arial" w:eastAsia="Arial" w:hAnsi="Arial"/>
                <w:sz w:val="12"/>
                <w:szCs w:val="12"/>
                <w:color w:val="1A475F"/>
              </w:rPr>
              <w:t>430,560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1A475F"/>
                <w:w w:val="71"/>
              </w:rPr>
              <w:t>$</w:t>
            </w: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589,675</w:t>
            </w:r>
          </w:p>
        </w:tc>
        <w:tc>
          <w:tcPr>
            <w:tcW w:w="10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ind w:left="220"/>
              <w:spacing w:after="0" w:line="128" w:lineRule="exact"/>
              <w:rPr>
                <w:sz w:val="20"/>
                <w:szCs w:val="20"/>
                <w:color w:val="auto"/>
              </w:rPr>
            </w:pPr>
            <w:r>
              <w:rPr>
                <w:rFonts w:ascii="Arial" w:cs="Arial" w:eastAsia="Arial" w:hAnsi="Arial"/>
                <w:sz w:val="12"/>
                <w:szCs w:val="12"/>
                <w:color w:val="1A475F"/>
                <w:w w:val="91"/>
              </w:rPr>
              <w:t>— </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1A475F"/>
                <w:w w:val="81"/>
              </w:rPr>
              <w:t>  </w:t>
            </w:r>
          </w:p>
        </w:tc>
        <w:tc>
          <w:tcPr>
            <w:tcW w:w="1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1A475F"/>
              </w:rPr>
              <w:t>$</w:t>
            </w: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465,005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589,675</w:t>
            </w:r>
          </w:p>
        </w:tc>
        <w:tc>
          <w:tcPr>
            <w:tcW w:w="760" w:type="dxa"/>
            <w:vAlign w:val="bottom"/>
            <w:tcBorders>
              <w:right w:val="single" w:sz="8" w:color="CCEEFF"/>
            </w:tcBorders>
            <w:gridSpan w:val="2"/>
            <w:shd w:val="clear" w:color="auto" w:fill="CCEEFF"/>
          </w:tcPr>
          <w:p>
            <w:pPr>
              <w:jc w:val="center"/>
              <w:ind w:left="3"/>
              <w:spacing w:after="0" w:line="128" w:lineRule="exact"/>
              <w:rPr>
                <w:sz w:val="20"/>
                <w:szCs w:val="20"/>
                <w:color w:val="auto"/>
              </w:rPr>
            </w:pPr>
            <w:r>
              <w:rPr>
                <w:rFonts w:ascii="Arial" w:cs="Arial" w:eastAsia="Arial" w:hAnsi="Arial"/>
                <w:sz w:val="12"/>
                <w:szCs w:val="12"/>
                <w:color w:val="1A475F"/>
                <w:w w:val="97"/>
              </w:rPr>
              <w:t>$ 2,503,968</w:t>
            </w:r>
          </w:p>
        </w:tc>
        <w:tc>
          <w:tcPr>
            <w:tcW w:w="0" w:type="dxa"/>
            <w:vAlign w:val="bottom"/>
          </w:tcPr>
          <w:p>
            <w:pPr>
              <w:spacing w:after="0"/>
              <w:rPr>
                <w:sz w:val="1"/>
                <w:szCs w:val="1"/>
                <w:color w:val="auto"/>
              </w:rPr>
            </w:pPr>
          </w:p>
        </w:tc>
      </w:tr>
      <w:tr>
        <w:trPr>
          <w:trHeight w:val="127"/>
        </w:trPr>
        <w:tc>
          <w:tcPr>
            <w:tcW w:w="1600" w:type="dxa"/>
            <w:vAlign w:val="bottom"/>
          </w:tcPr>
          <w:p>
            <w:pPr>
              <w:spacing w:after="0" w:line="128" w:lineRule="exact"/>
              <w:rPr>
                <w:sz w:val="20"/>
                <w:szCs w:val="20"/>
                <w:color w:val="auto"/>
              </w:rPr>
            </w:pPr>
            <w:r>
              <w:rPr>
                <w:rFonts w:ascii="Arial" w:cs="Arial" w:eastAsia="Arial" w:hAnsi="Arial"/>
                <w:sz w:val="12"/>
                <w:szCs w:val="12"/>
                <w:color w:val="1A475F"/>
              </w:rPr>
              <w:t>Mandy Berman</w:t>
            </w:r>
          </w:p>
        </w:tc>
        <w:tc>
          <w:tcPr>
            <w:tcW w:w="60" w:type="dxa"/>
            <w:vAlign w:val="bottom"/>
          </w:tcPr>
          <w:p>
            <w:pPr>
              <w:jc w:val="right"/>
              <w:spacing w:after="0"/>
              <w:rPr>
                <w:sz w:val="20"/>
                <w:szCs w:val="20"/>
                <w:color w:val="auto"/>
              </w:rPr>
            </w:pPr>
            <w:r>
              <w:rPr>
                <w:rFonts w:ascii="Arial" w:cs="Arial" w:eastAsia="Arial" w:hAnsi="Arial"/>
                <w:sz w:val="10"/>
                <w:szCs w:val="10"/>
                <w:color w:val="1A475F"/>
                <w:w w:val="71"/>
              </w:rPr>
              <w:t>$</w:t>
            </w: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1A475F"/>
              </w:rPr>
              <w:t>465,005</w:t>
            </w:r>
          </w:p>
        </w:tc>
        <w:tc>
          <w:tcPr>
            <w:tcW w:w="140" w:type="dxa"/>
            <w:vAlign w:val="bottom"/>
            <w:gridSpan w:val="2"/>
          </w:tcPr>
          <w:p>
            <w:pPr>
              <w:ind w:left="80"/>
              <w:spacing w:after="0"/>
              <w:rPr>
                <w:sz w:val="20"/>
                <w:szCs w:val="20"/>
                <w:color w:val="auto"/>
              </w:rPr>
            </w:pPr>
            <w:r>
              <w:rPr>
                <w:rFonts w:ascii="Arial" w:cs="Arial" w:eastAsia="Arial" w:hAnsi="Arial"/>
                <w:sz w:val="10"/>
                <w:szCs w:val="10"/>
                <w:color w:val="1A475F"/>
                <w:w w:val="71"/>
              </w:rPr>
              <w:t>$</w:t>
            </w:r>
          </w:p>
        </w:tc>
        <w:tc>
          <w:tcPr>
            <w:tcW w:w="620" w:type="dxa"/>
            <w:vAlign w:val="bottom"/>
          </w:tcPr>
          <w:p>
            <w:pPr>
              <w:ind w:left="100"/>
              <w:spacing w:after="0" w:line="128" w:lineRule="exact"/>
              <w:rPr>
                <w:sz w:val="20"/>
                <w:szCs w:val="20"/>
                <w:color w:val="auto"/>
              </w:rPr>
            </w:pPr>
            <w:r>
              <w:rPr>
                <w:rFonts w:ascii="Arial" w:cs="Arial" w:eastAsia="Arial" w:hAnsi="Arial"/>
                <w:sz w:val="12"/>
                <w:szCs w:val="12"/>
                <w:color w:val="1A475F"/>
                <w:w w:val="93"/>
              </w:rPr>
              <w:t>1,723,565</w:t>
            </w:r>
          </w:p>
        </w:tc>
        <w:tc>
          <w:tcPr>
            <w:tcW w:w="200" w:type="dxa"/>
            <w:vAlign w:val="bottom"/>
            <w:gridSpan w:val="2"/>
          </w:tcPr>
          <w:p>
            <w:pPr>
              <w:jc w:val="right"/>
              <w:spacing w:after="0" w:line="128" w:lineRule="exact"/>
              <w:rPr>
                <w:sz w:val="20"/>
                <w:szCs w:val="20"/>
                <w:color w:val="auto"/>
              </w:rPr>
            </w:pPr>
            <w:r>
              <w:rPr>
                <w:rFonts w:ascii="Arial" w:cs="Arial" w:eastAsia="Arial" w:hAnsi="Arial"/>
                <w:sz w:val="12"/>
                <w:szCs w:val="12"/>
                <w:color w:val="1A475F"/>
              </w:rPr>
              <w:t>$</w:t>
            </w: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1A475F"/>
              </w:rPr>
              <w:t>110,229</w:t>
            </w:r>
          </w:p>
        </w:tc>
        <w:tc>
          <w:tcPr>
            <w:tcW w:w="10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1A475F"/>
                <w:w w:val="99"/>
              </w:rPr>
              <w:t>$2,503,968</w:t>
            </w:r>
          </w:p>
        </w:tc>
        <w:tc>
          <w:tcPr>
            <w:tcW w:w="160" w:type="dxa"/>
            <w:vAlign w:val="bottom"/>
            <w:gridSpan w:val="2"/>
          </w:tcPr>
          <w:p>
            <w:pPr>
              <w:jc w:val="right"/>
              <w:spacing w:after="0" w:line="128" w:lineRule="exact"/>
              <w:rPr>
                <w:sz w:val="20"/>
                <w:szCs w:val="20"/>
                <w:color w:val="auto"/>
              </w:rPr>
            </w:pPr>
            <w:r>
              <w:rPr>
                <w:rFonts w:ascii="Arial" w:cs="Arial" w:eastAsia="Arial" w:hAnsi="Arial"/>
                <w:sz w:val="12"/>
                <w:szCs w:val="12"/>
                <w:color w:val="1A475F"/>
              </w:rPr>
              <w:t>$</w:t>
            </w:r>
          </w:p>
        </w:tc>
        <w:tc>
          <w:tcPr>
            <w:tcW w:w="520" w:type="dxa"/>
            <w:vAlign w:val="bottom"/>
          </w:tcPr>
          <w:p>
            <w:pPr>
              <w:jc w:val="right"/>
              <w:spacing w:after="0" w:line="128" w:lineRule="exact"/>
              <w:rPr>
                <w:sz w:val="20"/>
                <w:szCs w:val="20"/>
                <w:color w:val="auto"/>
              </w:rPr>
            </w:pPr>
            <w:r>
              <w:rPr>
                <w:rFonts w:ascii="Arial" w:cs="Arial" w:eastAsia="Arial" w:hAnsi="Arial"/>
                <w:sz w:val="12"/>
                <w:szCs w:val="12"/>
                <w:color w:val="1A475F"/>
              </w:rPr>
              <w:t>465,005</w:t>
            </w:r>
          </w:p>
        </w:tc>
        <w:tc>
          <w:tcPr>
            <w:tcW w:w="180" w:type="dxa"/>
            <w:vAlign w:val="bottom"/>
            <w:gridSpan w:val="2"/>
          </w:tcPr>
          <w:p>
            <w:pPr>
              <w:jc w:val="right"/>
              <w:spacing w:after="0" w:line="128" w:lineRule="exact"/>
              <w:rPr>
                <w:sz w:val="20"/>
                <w:szCs w:val="20"/>
                <w:color w:val="auto"/>
              </w:rPr>
            </w:pPr>
            <w:r>
              <w:rPr>
                <w:rFonts w:ascii="Arial" w:cs="Arial" w:eastAsia="Arial" w:hAnsi="Arial"/>
                <w:sz w:val="12"/>
                <w:szCs w:val="12"/>
                <w:color w:val="1A475F"/>
              </w:rPr>
              <w:t>$</w:t>
            </w:r>
          </w:p>
        </w:tc>
        <w:tc>
          <w:tcPr>
            <w:tcW w:w="680" w:type="dxa"/>
            <w:vAlign w:val="bottom"/>
          </w:tcPr>
          <w:p>
            <w:pPr>
              <w:jc w:val="right"/>
              <w:ind w:right="43"/>
              <w:spacing w:after="0" w:line="128" w:lineRule="exact"/>
              <w:rPr>
                <w:sz w:val="20"/>
                <w:szCs w:val="20"/>
                <w:color w:val="auto"/>
              </w:rPr>
            </w:pPr>
            <w:r>
              <w:rPr>
                <w:rFonts w:ascii="Arial" w:cs="Arial" w:eastAsia="Arial" w:hAnsi="Arial"/>
                <w:sz w:val="12"/>
                <w:szCs w:val="12"/>
                <w:color w:val="1A475F"/>
              </w:rPr>
              <w:t>430,560</w:t>
            </w:r>
          </w:p>
        </w:tc>
        <w:tc>
          <w:tcPr>
            <w:tcW w:w="60" w:type="dxa"/>
            <w:vAlign w:val="bottom"/>
          </w:tcPr>
          <w:p>
            <w:pPr>
              <w:spacing w:after="0"/>
              <w:rPr>
                <w:sz w:val="20"/>
                <w:szCs w:val="20"/>
                <w:color w:val="auto"/>
              </w:rPr>
            </w:pPr>
            <w:r>
              <w:rPr>
                <w:rFonts w:ascii="Arial" w:cs="Arial" w:eastAsia="Arial" w:hAnsi="Arial"/>
                <w:sz w:val="10"/>
                <w:szCs w:val="10"/>
                <w:color w:val="1A475F"/>
                <w:w w:val="71"/>
              </w:rPr>
              <w:t>$</w:t>
            </w: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1A475F"/>
              </w:rPr>
              <w:t>569,812</w:t>
            </w:r>
          </w:p>
        </w:tc>
        <w:tc>
          <w:tcPr>
            <w:tcW w:w="100" w:type="dxa"/>
            <w:vAlign w:val="bottom"/>
          </w:tcPr>
          <w:p>
            <w:pPr>
              <w:spacing w:after="0"/>
              <w:rPr>
                <w:sz w:val="11"/>
                <w:szCs w:val="11"/>
                <w:color w:val="auto"/>
              </w:rPr>
            </w:pPr>
          </w:p>
        </w:tc>
        <w:tc>
          <w:tcPr>
            <w:tcW w:w="480" w:type="dxa"/>
            <w:vAlign w:val="bottom"/>
          </w:tcPr>
          <w:p>
            <w:pPr>
              <w:ind w:left="220"/>
              <w:spacing w:after="0" w:line="128" w:lineRule="exact"/>
              <w:rPr>
                <w:sz w:val="20"/>
                <w:szCs w:val="20"/>
                <w:color w:val="auto"/>
              </w:rPr>
            </w:pPr>
            <w:r>
              <w:rPr>
                <w:rFonts w:ascii="Arial" w:cs="Arial" w:eastAsia="Arial" w:hAnsi="Arial"/>
                <w:sz w:val="12"/>
                <w:szCs w:val="12"/>
                <w:color w:val="1A475F"/>
                <w:w w:val="91"/>
              </w:rPr>
              <w:t>— </w:t>
            </w:r>
          </w:p>
        </w:tc>
        <w:tc>
          <w:tcPr>
            <w:tcW w:w="40" w:type="dxa"/>
            <w:vAlign w:val="bottom"/>
          </w:tcPr>
          <w:p>
            <w:pPr>
              <w:spacing w:after="0"/>
              <w:rPr>
                <w:sz w:val="20"/>
                <w:szCs w:val="20"/>
                <w:color w:val="auto"/>
              </w:rPr>
            </w:pPr>
            <w:r>
              <w:rPr>
                <w:rFonts w:ascii="Arial" w:cs="Arial" w:eastAsia="Arial" w:hAnsi="Arial"/>
                <w:sz w:val="5"/>
                <w:szCs w:val="5"/>
                <w:color w:val="1A475F"/>
                <w:w w:val="81"/>
              </w:rPr>
              <w:t>  </w:t>
            </w: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1A475F"/>
              </w:rPr>
              <w:t>$</w:t>
            </w:r>
          </w:p>
        </w:tc>
        <w:tc>
          <w:tcPr>
            <w:tcW w:w="520" w:type="dxa"/>
            <w:vAlign w:val="bottom"/>
          </w:tcPr>
          <w:p>
            <w:pPr>
              <w:jc w:val="right"/>
              <w:spacing w:after="0" w:line="128" w:lineRule="exact"/>
              <w:rPr>
                <w:sz w:val="20"/>
                <w:szCs w:val="20"/>
                <w:color w:val="auto"/>
              </w:rPr>
            </w:pPr>
            <w:r>
              <w:rPr>
                <w:rFonts w:ascii="Arial" w:cs="Arial" w:eastAsia="Arial" w:hAnsi="Arial"/>
                <w:sz w:val="12"/>
                <w:szCs w:val="12"/>
                <w:color w:val="1A475F"/>
              </w:rPr>
              <w:t>465,005</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1A475F"/>
                <w:w w:val="71"/>
              </w:rPr>
              <w:t>$</w:t>
            </w: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1A475F"/>
              </w:rPr>
              <w:t>569,812</w:t>
            </w:r>
          </w:p>
        </w:tc>
        <w:tc>
          <w:tcPr>
            <w:tcW w:w="760" w:type="dxa"/>
            <w:vAlign w:val="bottom"/>
            <w:gridSpan w:val="2"/>
          </w:tcPr>
          <w:p>
            <w:pPr>
              <w:jc w:val="center"/>
              <w:ind w:left="3"/>
              <w:spacing w:after="0" w:line="128" w:lineRule="exact"/>
              <w:rPr>
                <w:sz w:val="20"/>
                <w:szCs w:val="20"/>
                <w:color w:val="auto"/>
              </w:rPr>
            </w:pPr>
            <w:r>
              <w:rPr>
                <w:rFonts w:ascii="Arial" w:cs="Arial" w:eastAsia="Arial" w:hAnsi="Arial"/>
                <w:sz w:val="12"/>
                <w:szCs w:val="12"/>
                <w:color w:val="1A475F"/>
                <w:w w:val="97"/>
              </w:rPr>
              <w:t>$ 2,503,968</w:t>
            </w:r>
          </w:p>
        </w:tc>
        <w:tc>
          <w:tcPr>
            <w:tcW w:w="0" w:type="dxa"/>
            <w:vAlign w:val="bottom"/>
          </w:tcPr>
          <w:p>
            <w:pPr>
              <w:spacing w:after="0"/>
              <w:rPr>
                <w:sz w:val="1"/>
                <w:szCs w:val="1"/>
                <w:color w:val="auto"/>
              </w:rPr>
            </w:pPr>
          </w:p>
        </w:tc>
      </w:tr>
      <w:tr>
        <w:trPr>
          <w:trHeight w:val="127"/>
        </w:trPr>
        <w:tc>
          <w:tcPr>
            <w:tcW w:w="1600" w:type="dxa"/>
            <w:vAlign w:val="bottom"/>
            <w:tcBorders>
              <w:right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1A475F"/>
              </w:rPr>
              <w:t>Rosamund Marshall(*)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367,754</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1A475F"/>
                <w:w w:val="71"/>
              </w:rPr>
              <w:t>$</w:t>
            </w:r>
          </w:p>
        </w:tc>
        <w:tc>
          <w:tcPr>
            <w:tcW w:w="6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1A475F"/>
                <w:w w:val="93"/>
              </w:rPr>
              <w:t>1,562,441</w:t>
            </w:r>
          </w:p>
        </w:tc>
        <w:tc>
          <w:tcPr>
            <w:tcW w:w="2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1A475F"/>
              </w:rPr>
              <w:t>$</w:t>
            </w: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18,483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w w:val="99"/>
              </w:rPr>
              <w:t>$1,707,244</w:t>
            </w:r>
          </w:p>
        </w:tc>
        <w:tc>
          <w:tcPr>
            <w:tcW w:w="1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1A475F"/>
              </w:rPr>
              <w:t>$</w:t>
            </w: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367,754</w:t>
            </w:r>
          </w:p>
        </w:tc>
        <w:tc>
          <w:tcPr>
            <w:tcW w:w="1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1A475F"/>
              </w:rPr>
              <w:t>$</w:t>
            </w:r>
          </w:p>
        </w:tc>
        <w:tc>
          <w:tcPr>
            <w:tcW w:w="680" w:type="dxa"/>
            <w:vAlign w:val="bottom"/>
            <w:tcBorders>
              <w:right w:val="single" w:sz="8" w:color="CCEEFF"/>
            </w:tcBorders>
            <w:shd w:val="clear" w:color="auto" w:fill="CCEEFF"/>
          </w:tcPr>
          <w:p>
            <w:pPr>
              <w:jc w:val="right"/>
              <w:ind w:right="43"/>
              <w:spacing w:after="0" w:line="128" w:lineRule="exact"/>
              <w:rPr>
                <w:sz w:val="20"/>
                <w:szCs w:val="20"/>
                <w:color w:val="auto"/>
              </w:rPr>
            </w:pPr>
            <w:r>
              <w:rPr>
                <w:rFonts w:ascii="Arial" w:cs="Arial" w:eastAsia="Arial" w:hAnsi="Arial"/>
                <w:sz w:val="12"/>
                <w:szCs w:val="12"/>
                <w:color w:val="1A475F"/>
              </w:rPr>
              <w:t>454,017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1A475F"/>
                <w:w w:val="71"/>
              </w:rPr>
              <w:t>$</w:t>
            </w: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402,017</w:t>
            </w:r>
          </w:p>
        </w:tc>
        <w:tc>
          <w:tcPr>
            <w:tcW w:w="580" w:type="dxa"/>
            <w:vAlign w:val="bottom"/>
            <w:tcBorders>
              <w:right w:val="single" w:sz="8" w:color="CCEEFF"/>
            </w:tcBorders>
            <w:gridSpan w:val="2"/>
            <w:shd w:val="clear" w:color="auto" w:fill="CCEEFF"/>
          </w:tcPr>
          <w:p>
            <w:pPr>
              <w:jc w:val="center"/>
              <w:ind w:left="42"/>
              <w:spacing w:after="0" w:line="128" w:lineRule="exact"/>
              <w:rPr>
                <w:sz w:val="20"/>
                <w:szCs w:val="20"/>
                <w:color w:val="auto"/>
              </w:rPr>
            </w:pPr>
            <w:r>
              <w:rPr>
                <w:rFonts w:ascii="Arial" w:cs="Arial" w:eastAsia="Arial" w:hAnsi="Arial"/>
                <w:sz w:val="12"/>
                <w:szCs w:val="12"/>
                <w:color w:val="1A475F"/>
                <w:w w:val="95"/>
              </w:rPr>
              <w:t>$113,504</w:t>
            </w: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1A475F"/>
              </w:rPr>
              <w:t>$</w:t>
            </w: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367,754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1A475F"/>
              </w:rPr>
              <w:t>402,017</w:t>
            </w:r>
          </w:p>
        </w:tc>
        <w:tc>
          <w:tcPr>
            <w:tcW w:w="760" w:type="dxa"/>
            <w:vAlign w:val="bottom"/>
            <w:tcBorders>
              <w:right w:val="single" w:sz="8" w:color="CCEEFF"/>
            </w:tcBorders>
            <w:gridSpan w:val="2"/>
            <w:shd w:val="clear" w:color="auto" w:fill="CCEEFF"/>
          </w:tcPr>
          <w:p>
            <w:pPr>
              <w:jc w:val="center"/>
              <w:ind w:left="3"/>
              <w:spacing w:after="0" w:line="128" w:lineRule="exact"/>
              <w:rPr>
                <w:sz w:val="20"/>
                <w:szCs w:val="20"/>
                <w:color w:val="auto"/>
              </w:rPr>
            </w:pPr>
            <w:r>
              <w:rPr>
                <w:rFonts w:ascii="Arial" w:cs="Arial" w:eastAsia="Arial" w:hAnsi="Arial"/>
                <w:sz w:val="12"/>
                <w:szCs w:val="12"/>
                <w:color w:val="1A475F"/>
                <w:w w:val="97"/>
              </w:rPr>
              <w:t>$ 1,707,244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73660</wp:posOffset>
            </wp:positionV>
            <wp:extent cx="65405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4" w:lineRule="exact"/>
        <w:rPr>
          <w:sz w:val="20"/>
          <w:szCs w:val="20"/>
          <w:color w:val="auto"/>
        </w:rPr>
      </w:pPr>
    </w:p>
    <w:p>
      <w:pPr>
        <w:ind w:left="1280" w:right="160" w:hanging="379"/>
        <w:spacing w:after="0" w:line="252" w:lineRule="auto"/>
        <w:tabs>
          <w:tab w:leader="none" w:pos="1280" w:val="left"/>
        </w:tabs>
        <w:numPr>
          <w:ilvl w:val="0"/>
          <w:numId w:val="69"/>
        </w:numPr>
        <w:rPr>
          <w:rFonts w:ascii="Arial" w:cs="Arial" w:eastAsia="Arial" w:hAnsi="Arial"/>
          <w:sz w:val="12"/>
          <w:szCs w:val="12"/>
          <w:color w:val="1A475F"/>
        </w:rPr>
      </w:pPr>
      <w:r>
        <w:rPr>
          <w:rFonts w:ascii="Arial" w:cs="Arial" w:eastAsia="Arial" w:hAnsi="Arial"/>
          <w:sz w:val="12"/>
          <w:szCs w:val="12"/>
          <w:color w:val="1A475F"/>
        </w:rPr>
        <w:t>The amounts reported for Ms. Marshall were converted from British pounds to U.S. dollars using the average exchange rate for 2025 of 1.3181 U.S. dollars per 1.00 British pound.</w:t>
      </w:r>
    </w:p>
    <w:p>
      <w:pPr>
        <w:ind w:left="1280" w:hanging="379"/>
        <w:spacing w:after="0"/>
        <w:tabs>
          <w:tab w:leader="none" w:pos="1280" w:val="left"/>
        </w:tabs>
        <w:numPr>
          <w:ilvl w:val="0"/>
          <w:numId w:val="70"/>
        </w:numPr>
        <w:rPr>
          <w:rFonts w:ascii="Arial" w:cs="Arial" w:eastAsia="Arial" w:hAnsi="Arial"/>
          <w:sz w:val="12"/>
          <w:szCs w:val="12"/>
          <w:color w:val="1A475F"/>
        </w:rPr>
      </w:pPr>
      <w:r>
        <w:rPr>
          <w:rFonts w:ascii="Arial" w:cs="Arial" w:eastAsia="Arial" w:hAnsi="Arial"/>
          <w:sz w:val="12"/>
          <w:szCs w:val="12"/>
          <w:color w:val="1A475F"/>
        </w:rPr>
        <w:t>Based on the cost of health premiums in effect for 2026.</w:t>
      </w:r>
    </w:p>
    <w:p>
      <w:pPr>
        <w:ind w:left="1280" w:right="40" w:hanging="379"/>
        <w:spacing w:after="0" w:line="241" w:lineRule="auto"/>
        <w:tabs>
          <w:tab w:leader="none" w:pos="1280" w:val="left"/>
        </w:tabs>
        <w:numPr>
          <w:ilvl w:val="0"/>
          <w:numId w:val="70"/>
        </w:numPr>
        <w:rPr>
          <w:rFonts w:ascii="Arial" w:cs="Arial" w:eastAsia="Arial" w:hAnsi="Arial"/>
          <w:sz w:val="12"/>
          <w:szCs w:val="12"/>
          <w:color w:val="1A475F"/>
        </w:rPr>
      </w:pPr>
      <w:r>
        <w:rPr>
          <w:rFonts w:ascii="Arial" w:cs="Arial" w:eastAsia="Arial" w:hAnsi="Arial"/>
          <w:sz w:val="12"/>
          <w:szCs w:val="12"/>
          <w:color w:val="1A475F"/>
        </w:rPr>
        <w:t>Includes unvested stock options. The amount associated with option awards is calculated by multiplying the number of unvested stock option awards by the difference between the exercise price of the stock options and $101.40, which was the closing stock price on December 31, 2025. Pursuant to the applicable severance or service agreement, all unvested options held by the NEO will vest in full upon a change of control. Amounts reported do not include unvested options that were out-of-the-money for each NEO as of December 31, 2025: 35,782 options for Mr. Kramer; 13,114 options for Ms. Boland; 17,328 options for Ms. Burke Afonso; 8,260 for Ms. Berman, and 13,592 options for Ms. Marshall.</w:t>
      </w:r>
    </w:p>
    <w:p>
      <w:pPr>
        <w:spacing w:after="0" w:line="1" w:lineRule="exact"/>
        <w:rPr>
          <w:rFonts w:ascii="Arial" w:cs="Arial" w:eastAsia="Arial" w:hAnsi="Arial"/>
          <w:sz w:val="12"/>
          <w:szCs w:val="12"/>
          <w:color w:val="1A475F"/>
        </w:rPr>
      </w:pPr>
    </w:p>
    <w:p>
      <w:pPr>
        <w:ind w:left="1280" w:right="20" w:hanging="379"/>
        <w:spacing w:after="0" w:line="261" w:lineRule="auto"/>
        <w:tabs>
          <w:tab w:leader="none" w:pos="1280" w:val="left"/>
        </w:tabs>
        <w:numPr>
          <w:ilvl w:val="0"/>
          <w:numId w:val="70"/>
        </w:numPr>
        <w:rPr>
          <w:rFonts w:ascii="Arial" w:cs="Arial" w:eastAsia="Arial" w:hAnsi="Arial"/>
          <w:sz w:val="12"/>
          <w:szCs w:val="12"/>
          <w:color w:val="1A475F"/>
        </w:rPr>
      </w:pPr>
      <w:r>
        <w:rPr>
          <w:rFonts w:ascii="Arial" w:cs="Arial" w:eastAsia="Arial" w:hAnsi="Arial"/>
          <w:sz w:val="12"/>
          <w:szCs w:val="12"/>
          <w:color w:val="1A475F"/>
        </w:rPr>
        <w:t>Includes unvested RSUs. The amount associated with RSUs is calculated by multiplying the number of RSUs by $101.40. Pursuant to the RSU agreements, for NEOs employed for more than two years, the RSUs will vest as to 100% on a change of control.</w:t>
      </w:r>
    </w:p>
    <w:p>
      <w:pPr>
        <w:spacing w:after="0" w:line="84" w:lineRule="exact"/>
        <w:rPr>
          <w:sz w:val="20"/>
          <w:szCs w:val="20"/>
          <w:color w:val="auto"/>
        </w:rPr>
      </w:pPr>
    </w:p>
    <w:p>
      <w:pPr>
        <w:jc w:val="right"/>
        <w:ind w:right="20"/>
        <w:spacing w:after="0"/>
        <w:tabs>
          <w:tab w:leader="none" w:pos="440" w:val="left"/>
          <w:tab w:leader="none" w:pos="16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49</w:t>
      </w:r>
    </w:p>
    <w:p>
      <w:pPr>
        <w:sectPr>
          <w:pgSz w:w="11900" w:h="16838" w:orient="portrait"/>
          <w:cols w:equalWidth="0" w:num="1">
            <w:col w:w="10360"/>
          </w:cols>
          <w:pgMar w:left="320" w:top="433" w:right="12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90" w:lineRule="exact"/>
        <w:rPr>
          <w:sz w:val="20"/>
          <w:szCs w:val="20"/>
          <w:color w:val="auto"/>
        </w:rPr>
      </w:pPr>
    </w:p>
    <w:p>
      <w:pPr>
        <w:ind w:left="1280" w:right="20" w:hanging="379"/>
        <w:spacing w:after="0" w:line="252" w:lineRule="auto"/>
        <w:tabs>
          <w:tab w:leader="none" w:pos="1280" w:val="left"/>
        </w:tabs>
        <w:numPr>
          <w:ilvl w:val="0"/>
          <w:numId w:val="71"/>
        </w:numPr>
        <w:rPr>
          <w:rFonts w:ascii="Arial" w:cs="Arial" w:eastAsia="Arial" w:hAnsi="Arial"/>
          <w:sz w:val="12"/>
          <w:szCs w:val="12"/>
          <w:color w:val="1A475F"/>
        </w:rPr>
      </w:pPr>
      <w:r>
        <w:rPr>
          <w:rFonts w:ascii="Arial" w:cs="Arial" w:eastAsia="Arial" w:hAnsi="Arial"/>
          <w:sz w:val="12"/>
          <w:szCs w:val="12"/>
          <w:color w:val="1A475F"/>
        </w:rPr>
        <w:t>Includes unvested PRSUs. The amount associated with PRSUs is calculated by assuming target performance is achieved and multiplied by $101.40. Pursuant to the PRSU agreements, for NEOs employed for more than two years, the PRSUs will vest as to 100% on a change of control assuming achievement of target.</w:t>
      </w:r>
    </w:p>
    <w:p>
      <w:pPr>
        <w:ind w:left="1280" w:right="60" w:hanging="379"/>
        <w:spacing w:after="0" w:line="241" w:lineRule="auto"/>
        <w:tabs>
          <w:tab w:leader="none" w:pos="1280" w:val="left"/>
        </w:tabs>
        <w:numPr>
          <w:ilvl w:val="0"/>
          <w:numId w:val="71"/>
        </w:numPr>
        <w:rPr>
          <w:rFonts w:ascii="Arial" w:cs="Arial" w:eastAsia="Arial" w:hAnsi="Arial"/>
          <w:sz w:val="12"/>
          <w:szCs w:val="12"/>
          <w:color w:val="1A475F"/>
        </w:rPr>
      </w:pPr>
      <w:r>
        <w:rPr>
          <w:rFonts w:ascii="Arial" w:cs="Arial" w:eastAsia="Arial" w:hAnsi="Arial"/>
          <w:sz w:val="12"/>
          <w:szCs w:val="12"/>
          <w:color w:val="1A475F"/>
        </w:rPr>
        <w:t>Includes pro-rata vesting of unvested PRSUs. Pursuant to the PRSU agreements, an NEO’s PRSUs will vest in a pro-rata portion equal to the number of months the NEO has been employed during the performance period assuming and achievement at target.</w:t>
      </w:r>
    </w:p>
    <w:p>
      <w:pPr>
        <w:ind w:left="1280" w:hanging="379"/>
        <w:spacing w:after="0" w:line="241" w:lineRule="auto"/>
        <w:tabs>
          <w:tab w:leader="none" w:pos="1280" w:val="left"/>
        </w:tabs>
        <w:numPr>
          <w:ilvl w:val="0"/>
          <w:numId w:val="71"/>
        </w:numPr>
        <w:rPr>
          <w:rFonts w:ascii="Arial" w:cs="Arial" w:eastAsia="Arial" w:hAnsi="Arial"/>
          <w:sz w:val="12"/>
          <w:szCs w:val="12"/>
          <w:color w:val="1A475F"/>
        </w:rPr>
      </w:pPr>
      <w:r>
        <w:rPr>
          <w:rFonts w:ascii="Arial" w:cs="Arial" w:eastAsia="Arial" w:hAnsi="Arial"/>
          <w:sz w:val="12"/>
          <w:szCs w:val="12"/>
          <w:color w:val="1A475F"/>
        </w:rPr>
        <w:t>Pursuant to Ms. Marshall’s service agreement, upon a termination due to disability, the Company may elect to place Ms. Marshall on garden leave during all or part of her three month contractual notice period, or alternatively, make a payment in lieu of all or part of her three month contractual notice, in each case equal to three months’ salary.</w:t>
      </w:r>
    </w:p>
    <w:p>
      <w:pPr>
        <w:spacing w:after="0" w:line="1" w:lineRule="exact"/>
        <w:rPr>
          <w:rFonts w:ascii="Arial" w:cs="Arial" w:eastAsia="Arial" w:hAnsi="Arial"/>
          <w:sz w:val="12"/>
          <w:szCs w:val="12"/>
          <w:color w:val="1A475F"/>
        </w:rPr>
      </w:pPr>
    </w:p>
    <w:p>
      <w:pPr>
        <w:ind w:left="1280" w:right="280" w:hanging="379"/>
        <w:spacing w:after="0" w:line="241" w:lineRule="auto"/>
        <w:tabs>
          <w:tab w:leader="none" w:pos="1280" w:val="left"/>
        </w:tabs>
        <w:numPr>
          <w:ilvl w:val="0"/>
          <w:numId w:val="71"/>
        </w:numPr>
        <w:rPr>
          <w:rFonts w:ascii="Arial" w:cs="Arial" w:eastAsia="Arial" w:hAnsi="Arial"/>
          <w:sz w:val="12"/>
          <w:szCs w:val="12"/>
          <w:color w:val="1A475F"/>
        </w:rPr>
      </w:pPr>
      <w:r>
        <w:rPr>
          <w:rFonts w:ascii="Arial" w:cs="Arial" w:eastAsia="Arial" w:hAnsi="Arial"/>
          <w:sz w:val="12"/>
          <w:szCs w:val="12"/>
          <w:color w:val="1A475F"/>
        </w:rPr>
        <w:t>Includes pro-rata vesting of unvested PRSUs (see footnote (5) above for treatment). RSUs and stock options do not accelerate on termination of employment by reason of death or disability.</w:t>
      </w:r>
    </w:p>
    <w:p>
      <w:pPr>
        <w:ind w:left="1280" w:hanging="379"/>
        <w:spacing w:after="0"/>
        <w:tabs>
          <w:tab w:leader="none" w:pos="1280" w:val="left"/>
        </w:tabs>
        <w:numPr>
          <w:ilvl w:val="0"/>
          <w:numId w:val="71"/>
        </w:numPr>
        <w:rPr>
          <w:rFonts w:ascii="Arial" w:cs="Arial" w:eastAsia="Arial" w:hAnsi="Arial"/>
          <w:sz w:val="12"/>
          <w:szCs w:val="12"/>
          <w:color w:val="1A475F"/>
        </w:rPr>
      </w:pPr>
      <w:r>
        <w:rPr>
          <w:rFonts w:ascii="Arial" w:cs="Arial" w:eastAsia="Arial" w:hAnsi="Arial"/>
          <w:sz w:val="12"/>
          <w:szCs w:val="12"/>
          <w:color w:val="1A475F"/>
        </w:rPr>
        <w:t>Includes unvested stock options (see footnote (2) above for treatment), unvested RSUs (see footnote (3) above for treatment) and unvested PRSUs (see footnote</w:t>
      </w:r>
    </w:p>
    <w:p>
      <w:pPr>
        <w:ind w:left="1280"/>
        <w:spacing w:after="0"/>
        <w:rPr>
          <w:rFonts w:ascii="Arial" w:cs="Arial" w:eastAsia="Arial" w:hAnsi="Arial"/>
          <w:sz w:val="12"/>
          <w:szCs w:val="12"/>
          <w:color w:val="1A475F"/>
        </w:rPr>
      </w:pPr>
      <w:r>
        <w:rPr>
          <w:rFonts w:ascii="Arial" w:cs="Arial" w:eastAsia="Arial" w:hAnsi="Arial"/>
          <w:sz w:val="12"/>
          <w:szCs w:val="12"/>
          <w:color w:val="1A475F"/>
        </w:rPr>
        <w:t>(4) above for treatment).</w:t>
      </w:r>
    </w:p>
    <w:p>
      <w:pPr>
        <w:spacing w:after="0" w:line="107"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50</w:t>
        <w:tab/>
        <w:t>|    Bright Horizons </w:t>
      </w:r>
    </w:p>
    <w:p>
      <w:pPr>
        <w:sectPr>
          <w:pgSz w:w="11900" w:h="16838" w:orient="portrait"/>
          <w:cols w:equalWidth="0" w:num="1">
            <w:col w:w="10280"/>
          </w:cols>
          <w:pgMar w:left="320" w:top="434" w:right="1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5040"/>
        <w:spacing w:after="0"/>
        <w:rPr>
          <w:sz w:val="20"/>
          <w:szCs w:val="20"/>
          <w:color w:val="auto"/>
        </w:rPr>
      </w:pPr>
      <w:r>
        <w:rPr>
          <w:rFonts w:ascii="Arial" w:cs="Arial" w:eastAsia="Arial" w:hAnsi="Arial"/>
          <w:sz w:val="15"/>
          <w:szCs w:val="15"/>
          <w:b w:val="1"/>
          <w:bCs w:val="1"/>
          <w:color w:val="1A475F"/>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97575" cy="146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00" w:right="80" w:firstLine="756"/>
        <w:spacing w:after="0" w:line="261" w:lineRule="auto"/>
        <w:rPr>
          <w:sz w:val="20"/>
          <w:szCs w:val="20"/>
          <w:color w:val="auto"/>
        </w:rPr>
      </w:pPr>
      <w:r>
        <w:rPr>
          <w:rFonts w:ascii="Arial" w:cs="Arial" w:eastAsia="Arial" w:hAnsi="Arial"/>
          <w:sz w:val="15"/>
          <w:szCs w:val="15"/>
          <w:color w:val="1A475F"/>
        </w:rPr>
        <w:t>We are providing the following information about the ratio of the annual total compensation of Stephen H. Kramer, our Chief Executive Officer and President, to the median of the annual total compensation of all employees (other than our Chief Executive Officer). For the year ended December 31, 2025:</w:t>
      </w:r>
    </w:p>
    <w:p>
      <w:pPr>
        <w:spacing w:after="0" w:line="62" w:lineRule="exact"/>
        <w:rPr>
          <w:sz w:val="20"/>
          <w:szCs w:val="20"/>
          <w:color w:val="auto"/>
        </w:rPr>
      </w:pPr>
    </w:p>
    <w:p>
      <w:pPr>
        <w:ind w:left="1640" w:right="700" w:hanging="368"/>
        <w:spacing w:after="0" w:line="282" w:lineRule="auto"/>
        <w:tabs>
          <w:tab w:leader="none" w:pos="1640" w:val="left"/>
        </w:tabs>
        <w:numPr>
          <w:ilvl w:val="0"/>
          <w:numId w:val="72"/>
        </w:numPr>
        <w:rPr>
          <w:rFonts w:ascii="Arial" w:cs="Arial" w:eastAsia="Arial" w:hAnsi="Arial"/>
          <w:sz w:val="15"/>
          <w:szCs w:val="15"/>
          <w:color w:val="1A475F"/>
        </w:rPr>
      </w:pPr>
      <w:r>
        <w:rPr>
          <w:rFonts w:ascii="Arial" w:cs="Arial" w:eastAsia="Arial" w:hAnsi="Arial"/>
          <w:sz w:val="15"/>
          <w:szCs w:val="15"/>
          <w:color w:val="1A475F"/>
        </w:rPr>
        <w:t>the annual total compensation of our Chief Executive Officer, as reported in the “Summary Compensation Table,” was $5,303,738; and,</w:t>
      </w:r>
    </w:p>
    <w:p>
      <w:pPr>
        <w:spacing w:after="0" w:line="46" w:lineRule="exact"/>
        <w:rPr>
          <w:rFonts w:ascii="Arial" w:cs="Arial" w:eastAsia="Arial" w:hAnsi="Arial"/>
          <w:sz w:val="15"/>
          <w:szCs w:val="15"/>
          <w:color w:val="1A475F"/>
        </w:rPr>
      </w:pPr>
    </w:p>
    <w:p>
      <w:pPr>
        <w:ind w:left="1640" w:right="80" w:hanging="368"/>
        <w:spacing w:after="0" w:line="282" w:lineRule="auto"/>
        <w:tabs>
          <w:tab w:leader="none" w:pos="1640" w:val="left"/>
        </w:tabs>
        <w:numPr>
          <w:ilvl w:val="0"/>
          <w:numId w:val="72"/>
        </w:numPr>
        <w:rPr>
          <w:rFonts w:ascii="Arial" w:cs="Arial" w:eastAsia="Arial" w:hAnsi="Arial"/>
          <w:sz w:val="15"/>
          <w:szCs w:val="15"/>
          <w:color w:val="1A475F"/>
        </w:rPr>
      </w:pPr>
      <w:r>
        <w:rPr>
          <w:rFonts w:ascii="Arial" w:cs="Arial" w:eastAsia="Arial" w:hAnsi="Arial"/>
          <w:sz w:val="15"/>
          <w:szCs w:val="15"/>
          <w:color w:val="1A475F"/>
        </w:rPr>
        <w:t>the median of the annual total compensation of all employees (other than our Chief Executive Officer) was $36,251 (calculated in the same manner as under the “Summary Compensation Table”).</w:t>
      </w:r>
    </w:p>
    <w:p>
      <w:pPr>
        <w:spacing w:after="0" w:line="127" w:lineRule="exact"/>
        <w:rPr>
          <w:sz w:val="20"/>
          <w:szCs w:val="20"/>
          <w:color w:val="auto"/>
        </w:rPr>
      </w:pPr>
    </w:p>
    <w:p>
      <w:pPr>
        <w:ind w:left="900" w:right="140" w:firstLine="756"/>
        <w:spacing w:after="0" w:line="258" w:lineRule="auto"/>
        <w:rPr>
          <w:sz w:val="20"/>
          <w:szCs w:val="20"/>
          <w:color w:val="auto"/>
        </w:rPr>
      </w:pPr>
      <w:r>
        <w:rPr>
          <w:rFonts w:ascii="Arial" w:cs="Arial" w:eastAsia="Arial" w:hAnsi="Arial"/>
          <w:sz w:val="15"/>
          <w:szCs w:val="15"/>
          <w:color w:val="1A475F"/>
        </w:rPr>
        <w:t xml:space="preserve">Based on this information, the 2025 ratio of our Chief Executive Officer’s annual total compensation to the annual total compensation of our median employee is estimated to be </w:t>
      </w:r>
      <w:r>
        <w:rPr>
          <w:rFonts w:ascii="Arial" w:cs="Arial" w:eastAsia="Arial" w:hAnsi="Arial"/>
          <w:sz w:val="15"/>
          <w:szCs w:val="15"/>
          <w:b w:val="1"/>
          <w:bCs w:val="1"/>
          <w:color w:val="1A475F"/>
        </w:rPr>
        <w:t>146:1.</w:t>
      </w:r>
      <w:r>
        <w:rPr>
          <w:rFonts w:ascii="Arial" w:cs="Arial" w:eastAsia="Arial" w:hAnsi="Arial"/>
          <w:sz w:val="15"/>
          <w:szCs w:val="15"/>
          <w:color w:val="1A475F"/>
        </w:rPr>
        <w:t xml:space="preserve"> Omitting Mr. Kramer’s 2025 LTIP equity awards, the ratio of our Chief Executive Officer’s $1,803,571 compensation (consisting of salary, bonus and all other compensation) to the equivalent compensation of our median employee is estimated to be </w:t>
      </w:r>
      <w:r>
        <w:rPr>
          <w:rFonts w:ascii="Arial" w:cs="Arial" w:eastAsia="Arial" w:hAnsi="Arial"/>
          <w:sz w:val="15"/>
          <w:szCs w:val="15"/>
          <w:b w:val="1"/>
          <w:bCs w:val="1"/>
          <w:color w:val="1A475F"/>
        </w:rPr>
        <w:t>50:1</w:t>
      </w:r>
      <w:r>
        <w:rPr>
          <w:rFonts w:ascii="Arial" w:cs="Arial" w:eastAsia="Arial" w:hAnsi="Arial"/>
          <w:sz w:val="15"/>
          <w:szCs w:val="15"/>
          <w:color w:val="1A475F"/>
        </w:rPr>
        <w:t>.</w:t>
      </w:r>
    </w:p>
    <w:p>
      <w:pPr>
        <w:spacing w:after="0" w:line="138" w:lineRule="exact"/>
        <w:rPr>
          <w:sz w:val="20"/>
          <w:szCs w:val="20"/>
          <w:color w:val="auto"/>
        </w:rPr>
      </w:pPr>
    </w:p>
    <w:p>
      <w:pPr>
        <w:ind w:left="900" w:right="80" w:firstLine="756"/>
        <w:spacing w:after="0" w:line="249" w:lineRule="auto"/>
        <w:rPr>
          <w:sz w:val="20"/>
          <w:szCs w:val="20"/>
          <w:color w:val="auto"/>
        </w:rPr>
      </w:pPr>
      <w:r>
        <w:rPr>
          <w:rFonts w:ascii="Arial" w:cs="Arial" w:eastAsia="Arial" w:hAnsi="Arial"/>
          <w:sz w:val="15"/>
          <w:szCs w:val="15"/>
          <w:color w:val="1A475F"/>
        </w:rPr>
        <w:t>SEC rules provide that we may use the same median employee for three years before identifying a new median employee provided that during our last completed fiscal year there has been no change in our employee population or compensation arrangements that we reasonably believe would result in a significant change to our pay ratio disclosure. We do not believe there has been a change in our employee population or compensation arrangements that would significantly change our pay ratio disclosure as compared to the prior year, and we have used the same median employee identified for use in our Proxy Statement for our 2024 Annual Meeting of Shareholders to calculate this year’s pay ratio.</w:t>
      </w:r>
    </w:p>
    <w:p>
      <w:pPr>
        <w:spacing w:after="0" w:line="153" w:lineRule="exact"/>
        <w:rPr>
          <w:sz w:val="20"/>
          <w:szCs w:val="20"/>
          <w:color w:val="auto"/>
        </w:rPr>
      </w:pPr>
    </w:p>
    <w:p>
      <w:pPr>
        <w:ind w:left="900" w:firstLine="756"/>
        <w:spacing w:after="0" w:line="249" w:lineRule="auto"/>
        <w:rPr>
          <w:sz w:val="20"/>
          <w:szCs w:val="20"/>
          <w:color w:val="auto"/>
        </w:rPr>
      </w:pPr>
      <w:r>
        <w:rPr>
          <w:rFonts w:ascii="Arial" w:cs="Arial" w:eastAsia="Arial" w:hAnsi="Arial"/>
          <w:sz w:val="15"/>
          <w:szCs w:val="15"/>
          <w:color w:val="1A475F"/>
        </w:rPr>
        <w:t>The pay ratio is a reasonable estimate calculated in a manner consistent with SEC rules based on our records, the methodology described above and reasonable judgment and assumptions. Because the SEC rules for identifying the median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for Bright Horizons.</w:t>
      </w:r>
    </w:p>
    <w:p>
      <w:pPr>
        <w:spacing w:after="0" w:line="93"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51</w:t>
      </w:r>
    </w:p>
    <w:p>
      <w:pPr>
        <w:sectPr>
          <w:pgSz w:w="11900" w:h="16838" w:orient="portrait"/>
          <w:cols w:equalWidth="0" w:num="1">
            <w:col w:w="10340"/>
          </w:cols>
          <w:pgMar w:left="320" w:top="434" w:right="1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1A475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97575" cy="146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00" w:right="260" w:firstLine="756"/>
        <w:spacing w:after="0" w:line="255" w:lineRule="auto"/>
        <w:rPr>
          <w:sz w:val="20"/>
          <w:szCs w:val="20"/>
          <w:color w:val="auto"/>
        </w:rPr>
      </w:pPr>
      <w:r>
        <w:rPr>
          <w:rFonts w:ascii="Arial" w:cs="Arial" w:eastAsia="Arial" w:hAnsi="Arial"/>
          <w:sz w:val="15"/>
          <w:szCs w:val="15"/>
          <w:color w:val="1A475F"/>
        </w:rPr>
        <w:t>As discussed in our “Compensation Discussion and Analysis” above, our Compensation Committee has implemented a compensation program designed to link a substantial portion of our NEOs’ compensation to the achievement of Company performance and to align our executive pay with the interests of our shareholders. Our compensation program aligns executive pay with shareholder interests and links pay to performance through a blend of short- and long-term performance measures.</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Pay versus Performance Table</w:t>
      </w:r>
    </w:p>
    <w:p>
      <w:pPr>
        <w:spacing w:after="0" w:line="94" w:lineRule="exact"/>
        <w:rPr>
          <w:sz w:val="20"/>
          <w:szCs w:val="20"/>
          <w:color w:val="auto"/>
        </w:rPr>
      </w:pPr>
    </w:p>
    <w:p>
      <w:pPr>
        <w:ind w:left="900" w:right="200" w:firstLine="756"/>
        <w:spacing w:after="0" w:line="261" w:lineRule="auto"/>
        <w:rPr>
          <w:sz w:val="20"/>
          <w:szCs w:val="20"/>
          <w:color w:val="auto"/>
        </w:rPr>
      </w:pPr>
      <w:r>
        <w:rPr>
          <w:rFonts w:ascii="Arial" w:cs="Arial" w:eastAsia="Arial" w:hAnsi="Arial"/>
          <w:sz w:val="15"/>
          <w:szCs w:val="15"/>
          <w:color w:val="1A475F"/>
        </w:rPr>
        <w:t>The following table sets forth additional compensation information for our principal executive officer (“PEO”), Mr. Kramer, and our NEOs other than Mr. Kramer (“Non-PEO NEOs”), calculated in accordance with applicable SEC rules, for fiscal years 2025, 2024, 2023, 2022 and 2021.</w:t>
      </w:r>
    </w:p>
    <w:p>
      <w:pPr>
        <w:spacing w:after="0" w:line="173" w:lineRule="exact"/>
        <w:rPr>
          <w:sz w:val="20"/>
          <w:szCs w:val="20"/>
          <w:color w:val="auto"/>
        </w:rPr>
      </w:pPr>
    </w:p>
    <w:tbl>
      <w:tblPr>
        <w:tblLayout w:type="fixed"/>
        <w:tblInd w:w="900" w:type="dxa"/>
        <w:tblCellMar>
          <w:top w:w="0" w:type="dxa"/>
          <w:left w:w="0" w:type="dxa"/>
          <w:bottom w:w="0" w:type="dxa"/>
          <w:right w:w="0" w:type="dxa"/>
        </w:tblCellMar>
      </w:tblPr>
      <w:tr>
        <w:trPr>
          <w:trHeight w:val="139"/>
        </w:trPr>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1A475F"/>
              </w:rPr>
              <w:t>Value of Initial Fixed $100</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1A475F"/>
              </w:rPr>
              <w:t>Investment Based on:</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2"/>
                <w:szCs w:val="12"/>
                <w:b w:val="1"/>
                <w:bCs w:val="1"/>
                <w:color w:val="1A475F"/>
              </w:rPr>
              <w:t>Peer Group</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1A475F"/>
              </w:rPr>
              <w:t>Total</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1A475F"/>
              </w:rPr>
              <w:t>Average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4"/>
          </w:tcPr>
          <w:p>
            <w:pPr>
              <w:ind w:left="180"/>
              <w:spacing w:after="0"/>
              <w:rPr>
                <w:sz w:val="20"/>
                <w:szCs w:val="20"/>
                <w:color w:val="auto"/>
              </w:rPr>
            </w:pPr>
            <w:r>
              <w:rPr>
                <w:rFonts w:ascii="Arial" w:cs="Arial" w:eastAsia="Arial" w:hAnsi="Arial"/>
                <w:sz w:val="12"/>
                <w:szCs w:val="12"/>
                <w:b w:val="1"/>
                <w:bCs w:val="1"/>
                <w:color w:val="1A475F"/>
              </w:rPr>
              <w:t>Shareholder</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1A475F"/>
              </w:rPr>
              <w:t>Summary</w:t>
            </w:r>
          </w:p>
        </w:tc>
        <w:tc>
          <w:tcPr>
            <w:tcW w:w="18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1A475F"/>
              </w:rPr>
              <w:t>Average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1A475F"/>
              </w:rPr>
              <w:t>Return</w:t>
            </w:r>
          </w:p>
        </w:tc>
        <w:tc>
          <w:tcPr>
            <w:tcW w:w="660" w:type="dxa"/>
            <w:vAlign w:val="bottom"/>
          </w:tcPr>
          <w:p>
            <w:pPr>
              <w:jc w:val="center"/>
              <w:ind w:right="34"/>
              <w:spacing w:after="0"/>
              <w:rPr>
                <w:sz w:val="20"/>
                <w:szCs w:val="20"/>
                <w:color w:val="auto"/>
              </w:rPr>
            </w:pPr>
            <w:r>
              <w:rPr>
                <w:rFonts w:ascii="Arial" w:cs="Arial" w:eastAsia="Arial" w:hAnsi="Arial"/>
                <w:sz w:val="12"/>
                <w:szCs w:val="12"/>
                <w:b w:val="1"/>
                <w:bCs w:val="1"/>
                <w:color w:val="1A475F"/>
              </w:rPr>
              <w:t>Net</w:t>
            </w:r>
          </w:p>
        </w:tc>
        <w:tc>
          <w:tcPr>
            <w:tcW w:w="7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1A475F"/>
              </w:rPr>
              <w:t>Adjusted</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1A475F"/>
              </w:rPr>
              <w:t>Summary</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b w:val="1"/>
                <w:bCs w:val="1"/>
                <w:color w:val="1A475F"/>
              </w:rPr>
              <w:t>Compensation</w:t>
            </w:r>
          </w:p>
        </w:tc>
        <w:tc>
          <w:tcPr>
            <w:tcW w:w="1160" w:type="dxa"/>
            <w:vAlign w:val="bottom"/>
            <w:gridSpan w:val="3"/>
          </w:tcPr>
          <w:p>
            <w:pPr>
              <w:jc w:val="center"/>
              <w:spacing w:after="0"/>
              <w:rPr>
                <w:sz w:val="20"/>
                <w:szCs w:val="20"/>
                <w:color w:val="auto"/>
              </w:rPr>
            </w:pPr>
            <w:r>
              <w:rPr>
                <w:rFonts w:ascii="Arial" w:cs="Arial" w:eastAsia="Arial" w:hAnsi="Arial"/>
                <w:sz w:val="12"/>
                <w:szCs w:val="12"/>
                <w:b w:val="1"/>
                <w:bCs w:val="1"/>
                <w:color w:val="1A475F"/>
              </w:rPr>
              <w:t>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2"/>
                <w:szCs w:val="12"/>
                <w:b w:val="1"/>
                <w:bCs w:val="1"/>
                <w:color w:val="1A475F"/>
                <w:w w:val="97"/>
              </w:rPr>
              <w:t>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1A475F"/>
              </w:rPr>
              <w:t>(Russell</w:t>
            </w:r>
          </w:p>
        </w:tc>
        <w:tc>
          <w:tcPr>
            <w:tcW w:w="660" w:type="dxa"/>
            <w:vAlign w:val="bottom"/>
          </w:tcPr>
          <w:p>
            <w:pPr>
              <w:jc w:val="center"/>
              <w:ind w:right="34"/>
              <w:spacing w:after="0"/>
              <w:rPr>
                <w:sz w:val="20"/>
                <w:szCs w:val="20"/>
                <w:color w:val="auto"/>
              </w:rPr>
            </w:pPr>
            <w:r>
              <w:rPr>
                <w:rFonts w:ascii="Arial" w:cs="Arial" w:eastAsia="Arial" w:hAnsi="Arial"/>
                <w:sz w:val="12"/>
                <w:szCs w:val="12"/>
                <w:b w:val="1"/>
                <w:bCs w:val="1"/>
                <w:color w:val="1A475F"/>
              </w:rPr>
              <w:t>Income</w:t>
            </w:r>
          </w:p>
        </w:tc>
        <w:tc>
          <w:tcPr>
            <w:tcW w:w="7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1A475F"/>
              </w:rPr>
              <w:t>EBITDA</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A475F"/>
              </w:rPr>
              <w:t>Compensation</w:t>
            </w: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1A475F"/>
              </w:rPr>
              <w:t>Compensation</w:t>
            </w:r>
          </w:p>
        </w:tc>
        <w:tc>
          <w:tcPr>
            <w:tcW w:w="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1A475F"/>
              </w:rPr>
              <w:t>Table Total for</w:t>
            </w:r>
          </w:p>
        </w:tc>
        <w:tc>
          <w:tcPr>
            <w:tcW w:w="18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1A475F"/>
              </w:rPr>
              <w:t>Actually Paid</w:t>
            </w:r>
          </w:p>
        </w:tc>
        <w:tc>
          <w:tcPr>
            <w:tcW w:w="800" w:type="dxa"/>
            <w:vAlign w:val="bottom"/>
            <w:gridSpan w:val="3"/>
          </w:tcPr>
          <w:p>
            <w:pPr>
              <w:jc w:val="right"/>
              <w:spacing w:after="0"/>
              <w:rPr>
                <w:sz w:val="20"/>
                <w:szCs w:val="20"/>
                <w:color w:val="auto"/>
              </w:rPr>
            </w:pPr>
            <w:r>
              <w:rPr>
                <w:rFonts w:ascii="Arial" w:cs="Arial" w:eastAsia="Arial" w:hAnsi="Arial"/>
                <w:sz w:val="12"/>
                <w:szCs w:val="12"/>
                <w:b w:val="1"/>
                <w:bCs w:val="1"/>
                <w:color w:val="1A475F"/>
              </w:rPr>
              <w:t>Shareholder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1A475F"/>
              </w:rPr>
              <w:t>Midcap</w:t>
            </w:r>
          </w:p>
        </w:tc>
        <w:tc>
          <w:tcPr>
            <w:tcW w:w="660" w:type="dxa"/>
            <w:vAlign w:val="bottom"/>
          </w:tcPr>
          <w:p>
            <w:pPr>
              <w:jc w:val="center"/>
              <w:ind w:right="34"/>
              <w:spacing w:after="0" w:line="139" w:lineRule="exact"/>
              <w:rPr>
                <w:sz w:val="20"/>
                <w:szCs w:val="20"/>
                <w:color w:val="auto"/>
              </w:rPr>
            </w:pPr>
            <w:r>
              <w:rPr>
                <w:rFonts w:ascii="Arial" w:cs="Arial" w:eastAsia="Arial" w:hAnsi="Arial"/>
                <w:sz w:val="12"/>
                <w:szCs w:val="12"/>
                <w:b w:val="1"/>
                <w:bCs w:val="1"/>
                <w:color w:val="1A475F"/>
                <w:w w:val="89"/>
              </w:rPr>
              <w:t>($)</w:t>
            </w:r>
            <w:r>
              <w:rPr>
                <w:rFonts w:ascii="Arial" w:cs="Arial" w:eastAsia="Arial" w:hAnsi="Arial"/>
                <w:sz w:val="15"/>
                <w:szCs w:val="15"/>
                <w:b w:val="1"/>
                <w:bCs w:val="1"/>
                <w:color w:val="1A475F"/>
                <w:w w:val="89"/>
                <w:vertAlign w:val="superscript"/>
              </w:rPr>
              <w:t>(5)</w:t>
            </w:r>
          </w:p>
        </w:tc>
        <w:tc>
          <w:tcPr>
            <w:tcW w:w="640" w:type="dxa"/>
            <w:vAlign w:val="bottom"/>
          </w:tcPr>
          <w:p>
            <w:pPr>
              <w:jc w:val="center"/>
              <w:ind w:left="13"/>
              <w:spacing w:after="0" w:line="139" w:lineRule="exact"/>
              <w:rPr>
                <w:sz w:val="20"/>
                <w:szCs w:val="20"/>
                <w:color w:val="auto"/>
              </w:rPr>
            </w:pPr>
            <w:r>
              <w:rPr>
                <w:rFonts w:ascii="Arial" w:cs="Arial" w:eastAsia="Arial" w:hAnsi="Arial"/>
                <w:sz w:val="12"/>
                <w:szCs w:val="12"/>
                <w:b w:val="1"/>
                <w:bCs w:val="1"/>
                <w:color w:val="1A475F"/>
                <w:w w:val="89"/>
              </w:rPr>
              <w:t>($)</w:t>
            </w:r>
            <w:r>
              <w:rPr>
                <w:rFonts w:ascii="Arial" w:cs="Arial" w:eastAsia="Arial" w:hAnsi="Arial"/>
                <w:sz w:val="15"/>
                <w:szCs w:val="15"/>
                <w:b w:val="1"/>
                <w:bCs w:val="1"/>
                <w:color w:val="1A475F"/>
                <w:w w:val="89"/>
                <w:vertAlign w:val="superscript"/>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0" w:type="dxa"/>
            <w:vAlign w:val="bottom"/>
            <w:vMerge w:val="restart"/>
          </w:tcPr>
          <w:p>
            <w:pPr>
              <w:spacing w:after="0"/>
              <w:rPr>
                <w:sz w:val="20"/>
                <w:szCs w:val="20"/>
                <w:color w:val="auto"/>
              </w:rPr>
            </w:pPr>
            <w:r>
              <w:rPr>
                <w:rFonts w:ascii="Arial" w:cs="Arial" w:eastAsia="Arial" w:hAnsi="Arial"/>
                <w:sz w:val="12"/>
                <w:szCs w:val="12"/>
                <w:b w:val="1"/>
                <w:bCs w:val="1"/>
                <w:color w:val="1A475F"/>
                <w:w w:val="99"/>
              </w:rPr>
              <w:t>Year</w:t>
            </w:r>
          </w:p>
        </w:tc>
        <w:tc>
          <w:tcPr>
            <w:tcW w:w="1740" w:type="dxa"/>
            <w:vAlign w:val="bottom"/>
            <w:vMerge w:val="restart"/>
          </w:tcPr>
          <w:p>
            <w:pPr>
              <w:spacing w:after="0"/>
              <w:rPr>
                <w:sz w:val="11"/>
                <w:szCs w:val="11"/>
                <w:color w:val="auto"/>
              </w:rPr>
            </w:pPr>
          </w:p>
        </w:tc>
        <w:tc>
          <w:tcPr>
            <w:tcW w:w="1060" w:type="dxa"/>
            <w:vAlign w:val="bottom"/>
            <w:gridSpan w:val="2"/>
          </w:tcPr>
          <w:p>
            <w:pPr>
              <w:jc w:val="right"/>
              <w:ind w:right="220"/>
              <w:spacing w:after="0" w:line="127" w:lineRule="exact"/>
              <w:rPr>
                <w:sz w:val="20"/>
                <w:szCs w:val="20"/>
                <w:color w:val="auto"/>
              </w:rPr>
            </w:pPr>
            <w:r>
              <w:rPr>
                <w:rFonts w:ascii="Arial" w:cs="Arial" w:eastAsia="Arial" w:hAnsi="Arial"/>
                <w:sz w:val="12"/>
                <w:szCs w:val="12"/>
                <w:b w:val="1"/>
                <w:bCs w:val="1"/>
                <w:color w:val="1A475F"/>
                <w:w w:val="99"/>
              </w:rPr>
              <w:t>Table Total for</w:t>
            </w:r>
          </w:p>
        </w:tc>
        <w:tc>
          <w:tcPr>
            <w:tcW w:w="980" w:type="dxa"/>
            <w:vAlign w:val="bottom"/>
            <w:gridSpan w:val="2"/>
          </w:tcPr>
          <w:p>
            <w:pPr>
              <w:jc w:val="center"/>
              <w:ind w:right="120"/>
              <w:spacing w:after="0" w:line="127" w:lineRule="exact"/>
              <w:rPr>
                <w:sz w:val="20"/>
                <w:szCs w:val="20"/>
                <w:color w:val="auto"/>
              </w:rPr>
            </w:pPr>
            <w:r>
              <w:rPr>
                <w:rFonts w:ascii="Arial" w:cs="Arial" w:eastAsia="Arial" w:hAnsi="Arial"/>
                <w:sz w:val="12"/>
                <w:szCs w:val="12"/>
                <w:b w:val="1"/>
                <w:bCs w:val="1"/>
                <w:color w:val="1A475F"/>
              </w:rPr>
              <w:t>Actually Paid</w:t>
            </w:r>
          </w:p>
        </w:tc>
        <w:tc>
          <w:tcPr>
            <w:tcW w:w="60" w:type="dxa"/>
            <w:vAlign w:val="bottom"/>
          </w:tcPr>
          <w:p>
            <w:pPr>
              <w:spacing w:after="0"/>
              <w:rPr>
                <w:sz w:val="11"/>
                <w:szCs w:val="11"/>
                <w:color w:val="auto"/>
              </w:rPr>
            </w:pPr>
          </w:p>
        </w:tc>
        <w:tc>
          <w:tcPr>
            <w:tcW w:w="880" w:type="dxa"/>
            <w:vAlign w:val="bottom"/>
          </w:tcPr>
          <w:p>
            <w:pPr>
              <w:jc w:val="center"/>
              <w:spacing w:after="0" w:line="127" w:lineRule="exact"/>
              <w:rPr>
                <w:sz w:val="20"/>
                <w:szCs w:val="20"/>
                <w:color w:val="auto"/>
              </w:rPr>
            </w:pPr>
            <w:r>
              <w:rPr>
                <w:rFonts w:ascii="Arial" w:cs="Arial" w:eastAsia="Arial" w:hAnsi="Arial"/>
                <w:sz w:val="12"/>
                <w:szCs w:val="12"/>
                <w:b w:val="1"/>
                <w:bCs w:val="1"/>
                <w:color w:val="1A475F"/>
              </w:rPr>
              <w:t>Non-PEO</w:t>
            </w:r>
          </w:p>
        </w:tc>
        <w:tc>
          <w:tcPr>
            <w:tcW w:w="180" w:type="dxa"/>
            <w:vAlign w:val="bottom"/>
          </w:tcPr>
          <w:p>
            <w:pPr>
              <w:spacing w:after="0"/>
              <w:rPr>
                <w:sz w:val="11"/>
                <w:szCs w:val="11"/>
                <w:color w:val="auto"/>
              </w:rPr>
            </w:pPr>
          </w:p>
        </w:tc>
        <w:tc>
          <w:tcPr>
            <w:tcW w:w="980" w:type="dxa"/>
            <w:vAlign w:val="bottom"/>
            <w:gridSpan w:val="2"/>
          </w:tcPr>
          <w:p>
            <w:pPr>
              <w:jc w:val="center"/>
              <w:ind w:right="120"/>
              <w:spacing w:after="0" w:line="127" w:lineRule="exact"/>
              <w:rPr>
                <w:sz w:val="20"/>
                <w:szCs w:val="20"/>
                <w:color w:val="auto"/>
              </w:rPr>
            </w:pPr>
            <w:r>
              <w:rPr>
                <w:rFonts w:ascii="Arial" w:cs="Arial" w:eastAsia="Arial" w:hAnsi="Arial"/>
                <w:sz w:val="12"/>
                <w:szCs w:val="12"/>
                <w:b w:val="1"/>
                <w:bCs w:val="1"/>
                <w:color w:val="1A475F"/>
              </w:rPr>
              <w:t>to Non-PEO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4"/>
              <w:spacing w:after="0" w:line="127" w:lineRule="exact"/>
              <w:rPr>
                <w:sz w:val="20"/>
                <w:szCs w:val="20"/>
                <w:color w:val="auto"/>
              </w:rPr>
            </w:pPr>
            <w:r>
              <w:rPr>
                <w:rFonts w:ascii="Arial" w:cs="Arial" w:eastAsia="Arial" w:hAnsi="Arial"/>
                <w:sz w:val="12"/>
                <w:szCs w:val="12"/>
                <w:b w:val="1"/>
                <w:bCs w:val="1"/>
                <w:color w:val="1A475F"/>
              </w:rPr>
              <w:t>Return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80"/>
              <w:spacing w:after="0" w:line="127" w:lineRule="exact"/>
              <w:rPr>
                <w:sz w:val="20"/>
                <w:szCs w:val="20"/>
                <w:color w:val="auto"/>
              </w:rPr>
            </w:pPr>
            <w:r>
              <w:rPr>
                <w:rFonts w:ascii="Arial" w:cs="Arial" w:eastAsia="Arial" w:hAnsi="Arial"/>
                <w:sz w:val="12"/>
                <w:szCs w:val="12"/>
                <w:b w:val="1"/>
                <w:bCs w:val="1"/>
                <w:color w:val="1A475F"/>
                <w:w w:val="99"/>
              </w:rPr>
              <w:t>Growth</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0" w:type="dxa"/>
            <w:vAlign w:val="bottom"/>
            <w:tcBorders>
              <w:bottom w:val="single" w:sz="8" w:color="auto"/>
            </w:tcBorders>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06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1A475F"/>
              </w:rPr>
              <w:t>PEO ($)</w:t>
            </w:r>
            <w:r>
              <w:rPr>
                <w:rFonts w:ascii="Arial" w:cs="Arial" w:eastAsia="Arial" w:hAnsi="Arial"/>
                <w:sz w:val="15"/>
                <w:szCs w:val="15"/>
                <w:b w:val="1"/>
                <w:bCs w:val="1"/>
                <w:color w:val="1A475F"/>
                <w:vertAlign w:val="superscript"/>
              </w:rPr>
              <w:t>(1)</w:t>
            </w:r>
          </w:p>
        </w:tc>
        <w:tc>
          <w:tcPr>
            <w:tcW w:w="9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1A475F"/>
                <w:w w:val="96"/>
              </w:rPr>
              <w:t>to PEO ($)</w:t>
            </w:r>
            <w:r>
              <w:rPr>
                <w:rFonts w:ascii="Arial" w:cs="Arial" w:eastAsia="Arial" w:hAnsi="Arial"/>
                <w:sz w:val="15"/>
                <w:szCs w:val="15"/>
                <w:b w:val="1"/>
                <w:bCs w:val="1"/>
                <w:color w:val="1A475F"/>
                <w:w w:val="96"/>
                <w:vertAlign w:val="superscript"/>
              </w:rPr>
              <w:t>(2)</w:t>
            </w:r>
          </w:p>
        </w:tc>
        <w:tc>
          <w:tcPr>
            <w:tcW w:w="60" w:type="dxa"/>
            <w:vAlign w:val="bottom"/>
          </w:tcPr>
          <w:p>
            <w:pPr>
              <w:spacing w:after="0"/>
              <w:rPr>
                <w:sz w:val="13"/>
                <w:szCs w:val="13"/>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1A475F"/>
                <w:w w:val="97"/>
              </w:rPr>
              <w:t>NEOs($)</w:t>
            </w:r>
            <w:r>
              <w:rPr>
                <w:rFonts w:ascii="Arial" w:cs="Arial" w:eastAsia="Arial" w:hAnsi="Arial"/>
                <w:sz w:val="15"/>
                <w:szCs w:val="15"/>
                <w:b w:val="1"/>
                <w:bCs w:val="1"/>
                <w:color w:val="1A475F"/>
                <w:w w:val="97"/>
                <w:vertAlign w:val="superscript"/>
              </w:rPr>
              <w:t>(3)</w:t>
            </w:r>
          </w:p>
        </w:tc>
        <w:tc>
          <w:tcPr>
            <w:tcW w:w="180" w:type="dxa"/>
            <w:vAlign w:val="bottom"/>
          </w:tcPr>
          <w:p>
            <w:pPr>
              <w:spacing w:after="0"/>
              <w:rPr>
                <w:sz w:val="13"/>
                <w:szCs w:val="13"/>
                <w:color w:val="auto"/>
              </w:rPr>
            </w:pPr>
          </w:p>
        </w:tc>
        <w:tc>
          <w:tcPr>
            <w:tcW w:w="9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1A475F"/>
                <w:w w:val="93"/>
              </w:rPr>
              <w:t>NEOs ($)</w:t>
            </w:r>
            <w:r>
              <w:rPr>
                <w:rFonts w:ascii="Arial" w:cs="Arial" w:eastAsia="Arial" w:hAnsi="Arial"/>
                <w:sz w:val="15"/>
                <w:szCs w:val="15"/>
                <w:b w:val="1"/>
                <w:bCs w:val="1"/>
                <w:color w:val="1A475F"/>
                <w:w w:val="93"/>
                <w:vertAlign w:val="superscript"/>
              </w:rPr>
              <w:t>(2)(3)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4"/>
              <w:spacing w:after="0" w:line="136" w:lineRule="exact"/>
              <w:rPr>
                <w:sz w:val="20"/>
                <w:szCs w:val="20"/>
                <w:color w:val="auto"/>
              </w:rPr>
            </w:pPr>
            <w:r>
              <w:rPr>
                <w:rFonts w:ascii="Arial" w:cs="Arial" w:eastAsia="Arial" w:hAnsi="Arial"/>
                <w:sz w:val="12"/>
                <w:szCs w:val="12"/>
                <w:b w:val="1"/>
                <w:bCs w:val="1"/>
                <w:color w:val="1A475F"/>
                <w:w w:val="94"/>
              </w:rPr>
              <w:t>(BFAM)</w:t>
            </w:r>
            <w:r>
              <w:rPr>
                <w:rFonts w:ascii="Arial" w:cs="Arial" w:eastAsia="Arial" w:hAnsi="Arial"/>
                <w:sz w:val="15"/>
                <w:szCs w:val="15"/>
                <w:b w:val="1"/>
                <w:bCs w:val="1"/>
                <w:color w:val="1A475F"/>
                <w:w w:val="94"/>
                <w:vertAlign w:val="superscript"/>
              </w:rPr>
              <w:t>(4)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1A475F"/>
                <w:w w:val="96"/>
              </w:rPr>
              <w:t>Index)</w:t>
            </w:r>
            <w:r>
              <w:rPr>
                <w:rFonts w:ascii="Arial" w:cs="Arial" w:eastAsia="Arial" w:hAnsi="Arial"/>
                <w:sz w:val="15"/>
                <w:szCs w:val="15"/>
                <w:b w:val="1"/>
                <w:bCs w:val="1"/>
                <w:color w:val="1A475F"/>
                <w:w w:val="96"/>
                <w:vertAlign w:val="superscript"/>
              </w:rPr>
              <w:t>(4)</w:t>
            </w:r>
          </w:p>
        </w:tc>
        <w:tc>
          <w:tcPr>
            <w:tcW w:w="140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1A475F"/>
              </w:rPr>
              <w:t>(in thousands)</w:t>
            </w:r>
          </w:p>
        </w:tc>
        <w:tc>
          <w:tcPr>
            <w:tcW w:w="0" w:type="dxa"/>
            <w:vAlign w:val="bottom"/>
          </w:tcPr>
          <w:p>
            <w:pPr>
              <w:spacing w:after="0"/>
              <w:rPr>
                <w:sz w:val="1"/>
                <w:szCs w:val="1"/>
                <w:color w:val="auto"/>
              </w:rPr>
            </w:pPr>
          </w:p>
        </w:tc>
      </w:tr>
      <w:tr>
        <w:trPr>
          <w:trHeight w:val="145"/>
        </w:trPr>
        <w:tc>
          <w:tcPr>
            <w:tcW w:w="2020" w:type="dxa"/>
            <w:vAlign w:val="bottom"/>
            <w:tcBorders>
              <w:top w:val="single" w:sz="8" w:color="CCEEFF"/>
            </w:tcBorders>
            <w:gridSpan w:val="2"/>
            <w:shd w:val="clear" w:color="auto" w:fill="CCEEFF"/>
          </w:tcPr>
          <w:p>
            <w:pPr>
              <w:spacing w:after="0" w:line="145" w:lineRule="exact"/>
              <w:rPr>
                <w:sz w:val="20"/>
                <w:szCs w:val="20"/>
                <w:color w:val="auto"/>
              </w:rPr>
            </w:pPr>
            <w:r>
              <w:rPr>
                <w:rFonts w:ascii="Arial" w:cs="Arial" w:eastAsia="Arial" w:hAnsi="Arial"/>
                <w:sz w:val="13"/>
                <w:szCs w:val="13"/>
                <w:color w:val="1A475F"/>
              </w:rPr>
              <w:t>2025</w:t>
            </w:r>
            <w:r>
              <w:rPr>
                <w:rFonts w:ascii="Arial" w:cs="Arial" w:eastAsia="Arial" w:hAnsi="Arial"/>
                <w:sz w:val="16"/>
                <w:szCs w:val="16"/>
                <w:color w:val="1A475F"/>
                <w:vertAlign w:val="superscript"/>
              </w:rPr>
              <w:t>(*)</w:t>
            </w:r>
          </w:p>
        </w:tc>
        <w:tc>
          <w:tcPr>
            <w:tcW w:w="86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1A475F"/>
              </w:rPr>
              <w:t>5,303,738</w:t>
            </w: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1A475F"/>
              </w:rPr>
              <w:t>4,174,363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1A475F"/>
              </w:rPr>
              <w:t>1,906,755</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1A475F"/>
              </w:rPr>
              <w:t>1,587,056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1A475F"/>
                <w:w w:val="71"/>
              </w:rPr>
              <w:t>$</w:t>
            </w:r>
          </w:p>
        </w:tc>
        <w:tc>
          <w:tcPr>
            <w:tcW w:w="6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1A475F"/>
              </w:rPr>
              <w:t>58.58</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color w:val="1A475F"/>
              </w:rPr>
              <w:t>$</w:t>
            </w:r>
          </w:p>
        </w:tc>
        <w:tc>
          <w:tcPr>
            <w:tcW w:w="6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1A475F"/>
              </w:rPr>
              <w:t>137.95</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34"/>
              <w:spacing w:after="0" w:line="145" w:lineRule="exact"/>
              <w:rPr>
                <w:sz w:val="20"/>
                <w:szCs w:val="20"/>
                <w:color w:val="auto"/>
              </w:rPr>
            </w:pPr>
            <w:r>
              <w:rPr>
                <w:rFonts w:ascii="Arial" w:cs="Arial" w:eastAsia="Arial" w:hAnsi="Arial"/>
                <w:sz w:val="14"/>
                <w:szCs w:val="14"/>
                <w:color w:val="1A475F"/>
              </w:rPr>
              <w:t>193,116</w:t>
            </w:r>
          </w:p>
        </w:tc>
        <w:tc>
          <w:tcPr>
            <w:tcW w:w="6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1A475F"/>
              </w:rPr>
              <w:t>487,442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20" w:type="dxa"/>
            <w:vAlign w:val="bottom"/>
            <w:gridSpan w:val="2"/>
          </w:tcPr>
          <w:p>
            <w:pPr>
              <w:spacing w:after="0" w:line="162" w:lineRule="exact"/>
              <w:rPr>
                <w:sz w:val="20"/>
                <w:szCs w:val="20"/>
                <w:color w:val="auto"/>
              </w:rPr>
            </w:pPr>
            <w:r>
              <w:rPr>
                <w:rFonts w:ascii="Arial" w:cs="Arial" w:eastAsia="Arial" w:hAnsi="Arial"/>
                <w:sz w:val="14"/>
                <w:szCs w:val="14"/>
                <w:color w:val="1A475F"/>
              </w:rPr>
              <w:t>2024</w:t>
            </w:r>
            <w:r>
              <w:rPr>
                <w:rFonts w:ascii="Arial" w:cs="Arial" w:eastAsia="Arial" w:hAnsi="Arial"/>
                <w:sz w:val="17"/>
                <w:szCs w:val="17"/>
                <w:color w:val="1A475F"/>
                <w:vertAlign w:val="superscript"/>
              </w:rPr>
              <w:t>(*)</w:t>
            </w:r>
          </w:p>
        </w:tc>
        <w:tc>
          <w:tcPr>
            <w:tcW w:w="860" w:type="dxa"/>
            <w:vAlign w:val="bottom"/>
          </w:tcPr>
          <w:p>
            <w:pPr>
              <w:jc w:val="right"/>
              <w:spacing w:after="0"/>
              <w:rPr>
                <w:sz w:val="20"/>
                <w:szCs w:val="20"/>
                <w:color w:val="auto"/>
              </w:rPr>
            </w:pPr>
            <w:r>
              <w:rPr>
                <w:rFonts w:ascii="Arial" w:cs="Arial" w:eastAsia="Arial" w:hAnsi="Arial"/>
                <w:sz w:val="14"/>
                <w:szCs w:val="14"/>
                <w:color w:val="1A475F"/>
              </w:rPr>
              <w:t>5,154,263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1A475F"/>
              </w:rPr>
              <w:t>6,639,460</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1A475F"/>
              </w:rPr>
              <w:t>1,833,876</w:t>
            </w:r>
          </w:p>
        </w:tc>
        <w:tc>
          <w:tcPr>
            <w:tcW w:w="1040" w:type="dxa"/>
            <w:vAlign w:val="bottom"/>
            <w:gridSpan w:val="2"/>
          </w:tcPr>
          <w:p>
            <w:pPr>
              <w:jc w:val="right"/>
              <w:spacing w:after="0"/>
              <w:rPr>
                <w:sz w:val="20"/>
                <w:szCs w:val="20"/>
                <w:color w:val="auto"/>
              </w:rPr>
            </w:pPr>
            <w:r>
              <w:rPr>
                <w:rFonts w:ascii="Arial" w:cs="Arial" w:eastAsia="Arial" w:hAnsi="Arial"/>
                <w:sz w:val="14"/>
                <w:szCs w:val="14"/>
                <w:color w:val="1A475F"/>
              </w:rPr>
              <w:t>2,236,059</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1A475F"/>
              </w:rPr>
              <w:t>$</w:t>
            </w:r>
          </w:p>
        </w:tc>
        <w:tc>
          <w:tcPr>
            <w:tcW w:w="640" w:type="dxa"/>
            <w:vAlign w:val="bottom"/>
          </w:tcPr>
          <w:p>
            <w:pPr>
              <w:jc w:val="right"/>
              <w:spacing w:after="0"/>
              <w:rPr>
                <w:sz w:val="20"/>
                <w:szCs w:val="20"/>
                <w:color w:val="auto"/>
              </w:rPr>
            </w:pPr>
            <w:r>
              <w:rPr>
                <w:rFonts w:ascii="Arial" w:cs="Arial" w:eastAsia="Arial" w:hAnsi="Arial"/>
                <w:sz w:val="14"/>
                <w:szCs w:val="14"/>
                <w:color w:val="1A475F"/>
              </w:rPr>
              <w:t>64.05</w:t>
            </w:r>
          </w:p>
        </w:tc>
        <w:tc>
          <w:tcPr>
            <w:tcW w:w="280" w:type="dxa"/>
            <w:vAlign w:val="bottom"/>
            <w:gridSpan w:val="2"/>
          </w:tcPr>
          <w:p>
            <w:pPr>
              <w:ind w:left="180"/>
              <w:spacing w:after="0"/>
              <w:rPr>
                <w:sz w:val="20"/>
                <w:szCs w:val="20"/>
                <w:color w:val="auto"/>
              </w:rPr>
            </w:pPr>
            <w:r>
              <w:rPr>
                <w:rFonts w:ascii="Arial" w:cs="Arial" w:eastAsia="Arial" w:hAnsi="Arial"/>
                <w:sz w:val="14"/>
                <w:szCs w:val="14"/>
                <w:color w:val="1A475F"/>
              </w:rPr>
              <w:t>$</w:t>
            </w:r>
          </w:p>
        </w:tc>
        <w:tc>
          <w:tcPr>
            <w:tcW w:w="640" w:type="dxa"/>
            <w:vAlign w:val="bottom"/>
          </w:tcPr>
          <w:p>
            <w:pPr>
              <w:jc w:val="right"/>
              <w:spacing w:after="0"/>
              <w:rPr>
                <w:sz w:val="20"/>
                <w:szCs w:val="20"/>
                <w:color w:val="auto"/>
              </w:rPr>
            </w:pPr>
            <w:r>
              <w:rPr>
                <w:rFonts w:ascii="Arial" w:cs="Arial" w:eastAsia="Arial" w:hAnsi="Arial"/>
                <w:sz w:val="14"/>
                <w:szCs w:val="14"/>
                <w:color w:val="1A475F"/>
              </w:rPr>
              <w:t>126.96</w:t>
            </w:r>
          </w:p>
        </w:tc>
        <w:tc>
          <w:tcPr>
            <w:tcW w:w="18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color w:val="1A475F"/>
              </w:rPr>
              <w:t>140,191</w:t>
            </w:r>
          </w:p>
        </w:tc>
        <w:tc>
          <w:tcPr>
            <w:tcW w:w="640" w:type="dxa"/>
            <w:vAlign w:val="bottom"/>
          </w:tcPr>
          <w:p>
            <w:pPr>
              <w:jc w:val="right"/>
              <w:spacing w:after="0"/>
              <w:rPr>
                <w:sz w:val="20"/>
                <w:szCs w:val="20"/>
                <w:color w:val="auto"/>
              </w:rPr>
            </w:pPr>
            <w:r>
              <w:rPr>
                <w:rFonts w:ascii="Arial" w:cs="Arial" w:eastAsia="Arial" w:hAnsi="Arial"/>
                <w:sz w:val="14"/>
                <w:szCs w:val="14"/>
                <w:color w:val="1A475F"/>
              </w:rPr>
              <w:t>409,286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shd w:val="clear" w:color="auto" w:fill="CCEEFF"/>
          </w:tcPr>
          <w:p>
            <w:pPr>
              <w:spacing w:after="0" w:line="162" w:lineRule="exact"/>
              <w:rPr>
                <w:sz w:val="20"/>
                <w:szCs w:val="20"/>
                <w:color w:val="auto"/>
              </w:rPr>
            </w:pPr>
            <w:r>
              <w:rPr>
                <w:rFonts w:ascii="Arial" w:cs="Arial" w:eastAsia="Arial" w:hAnsi="Arial"/>
                <w:sz w:val="14"/>
                <w:szCs w:val="14"/>
                <w:color w:val="1A475F"/>
              </w:rPr>
              <w:t>2023</w:t>
            </w:r>
            <w:r>
              <w:rPr>
                <w:rFonts w:ascii="Arial" w:cs="Arial" w:eastAsia="Arial" w:hAnsi="Arial"/>
                <w:sz w:val="17"/>
                <w:szCs w:val="17"/>
                <w:color w:val="1A475F"/>
                <w:vertAlign w:val="superscript"/>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4,927,814</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8,111,323</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A475F"/>
              </w:rPr>
              <w:t>1,706,797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A475F"/>
              </w:rPr>
              <w:t>2,796,763</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A475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54.46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1A475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103.97</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1A475F"/>
              </w:rPr>
              <w:t>74,223</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352,117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tcPr>
          <w:p>
            <w:pPr>
              <w:spacing w:after="0" w:line="162" w:lineRule="exact"/>
              <w:rPr>
                <w:sz w:val="20"/>
                <w:szCs w:val="20"/>
                <w:color w:val="auto"/>
              </w:rPr>
            </w:pPr>
            <w:r>
              <w:rPr>
                <w:rFonts w:ascii="Arial" w:cs="Arial" w:eastAsia="Arial" w:hAnsi="Arial"/>
                <w:sz w:val="14"/>
                <w:szCs w:val="14"/>
                <w:color w:val="1A475F"/>
              </w:rPr>
              <w:t>2022</w:t>
            </w:r>
            <w:r>
              <w:rPr>
                <w:rFonts w:ascii="Arial" w:cs="Arial" w:eastAsia="Arial" w:hAnsi="Arial"/>
                <w:sz w:val="17"/>
                <w:szCs w:val="17"/>
                <w:color w:val="1A475F"/>
                <w:vertAlign w:val="superscript"/>
              </w:rPr>
              <w:t>(*)</w:t>
            </w:r>
          </w:p>
        </w:tc>
        <w:tc>
          <w:tcPr>
            <w:tcW w:w="860" w:type="dxa"/>
            <w:vAlign w:val="bottom"/>
          </w:tcPr>
          <w:p>
            <w:pPr>
              <w:jc w:val="right"/>
              <w:spacing w:after="0"/>
              <w:rPr>
                <w:sz w:val="20"/>
                <w:szCs w:val="20"/>
                <w:color w:val="auto"/>
              </w:rPr>
            </w:pPr>
            <w:r>
              <w:rPr>
                <w:rFonts w:ascii="Arial" w:cs="Arial" w:eastAsia="Arial" w:hAnsi="Arial"/>
                <w:sz w:val="14"/>
                <w:szCs w:val="14"/>
                <w:color w:val="1A475F"/>
              </w:rPr>
              <w:t>3,258,891</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1A475F"/>
              </w:rPr>
              <w:t>(3,276,385)</w:t>
            </w:r>
          </w:p>
        </w:tc>
        <w:tc>
          <w:tcPr>
            <w:tcW w:w="940" w:type="dxa"/>
            <w:vAlign w:val="bottom"/>
            <w:gridSpan w:val="2"/>
          </w:tcPr>
          <w:p>
            <w:pPr>
              <w:jc w:val="right"/>
              <w:spacing w:after="0"/>
              <w:rPr>
                <w:sz w:val="20"/>
                <w:szCs w:val="20"/>
                <w:color w:val="auto"/>
              </w:rPr>
            </w:pPr>
            <w:r>
              <w:rPr>
                <w:rFonts w:ascii="Arial" w:cs="Arial" w:eastAsia="Arial" w:hAnsi="Arial"/>
                <w:sz w:val="14"/>
                <w:szCs w:val="14"/>
                <w:color w:val="1A475F"/>
              </w:rPr>
              <w:t>1,437,903</w:t>
            </w:r>
          </w:p>
        </w:tc>
        <w:tc>
          <w:tcPr>
            <w:tcW w:w="1160" w:type="dxa"/>
            <w:vAlign w:val="bottom"/>
            <w:gridSpan w:val="3"/>
          </w:tcPr>
          <w:p>
            <w:pPr>
              <w:jc w:val="right"/>
              <w:ind w:right="80"/>
              <w:spacing w:after="0"/>
              <w:rPr>
                <w:sz w:val="20"/>
                <w:szCs w:val="20"/>
                <w:color w:val="auto"/>
              </w:rPr>
            </w:pPr>
            <w:r>
              <w:rPr>
                <w:rFonts w:ascii="Arial" w:cs="Arial" w:eastAsia="Arial" w:hAnsi="Arial"/>
                <w:sz w:val="14"/>
                <w:szCs w:val="14"/>
                <w:color w:val="1A475F"/>
              </w:rPr>
              <w:t>(519,387)</w:t>
            </w:r>
          </w:p>
        </w:tc>
        <w:tc>
          <w:tcPr>
            <w:tcW w:w="160" w:type="dxa"/>
            <w:vAlign w:val="bottom"/>
            <w:gridSpan w:val="2"/>
          </w:tcPr>
          <w:p>
            <w:pPr>
              <w:jc w:val="right"/>
              <w:spacing w:after="0"/>
              <w:rPr>
                <w:sz w:val="20"/>
                <w:szCs w:val="20"/>
                <w:color w:val="auto"/>
              </w:rPr>
            </w:pPr>
            <w:r>
              <w:rPr>
                <w:rFonts w:ascii="Arial" w:cs="Arial" w:eastAsia="Arial" w:hAnsi="Arial"/>
                <w:sz w:val="14"/>
                <w:szCs w:val="14"/>
                <w:color w:val="1A475F"/>
              </w:rPr>
              <w:t>$</w:t>
            </w:r>
          </w:p>
        </w:tc>
        <w:tc>
          <w:tcPr>
            <w:tcW w:w="640" w:type="dxa"/>
            <w:vAlign w:val="bottom"/>
          </w:tcPr>
          <w:p>
            <w:pPr>
              <w:jc w:val="right"/>
              <w:spacing w:after="0"/>
              <w:rPr>
                <w:sz w:val="20"/>
                <w:szCs w:val="20"/>
                <w:color w:val="auto"/>
              </w:rPr>
            </w:pPr>
            <w:r>
              <w:rPr>
                <w:rFonts w:ascii="Arial" w:cs="Arial" w:eastAsia="Arial" w:hAnsi="Arial"/>
                <w:sz w:val="14"/>
                <w:szCs w:val="14"/>
                <w:color w:val="1A475F"/>
              </w:rPr>
              <w:t>36.47</w:t>
            </w:r>
          </w:p>
        </w:tc>
        <w:tc>
          <w:tcPr>
            <w:tcW w:w="280" w:type="dxa"/>
            <w:vAlign w:val="bottom"/>
            <w:gridSpan w:val="2"/>
          </w:tcPr>
          <w:p>
            <w:pPr>
              <w:ind w:left="180"/>
              <w:spacing w:after="0"/>
              <w:rPr>
                <w:sz w:val="20"/>
                <w:szCs w:val="20"/>
                <w:color w:val="auto"/>
              </w:rPr>
            </w:pPr>
            <w:r>
              <w:rPr>
                <w:rFonts w:ascii="Arial" w:cs="Arial" w:eastAsia="Arial" w:hAnsi="Arial"/>
                <w:sz w:val="14"/>
                <w:szCs w:val="14"/>
                <w:color w:val="1A475F"/>
              </w:rPr>
              <w:t>$</w:t>
            </w:r>
          </w:p>
        </w:tc>
        <w:tc>
          <w:tcPr>
            <w:tcW w:w="640" w:type="dxa"/>
            <w:vAlign w:val="bottom"/>
          </w:tcPr>
          <w:p>
            <w:pPr>
              <w:jc w:val="right"/>
              <w:spacing w:after="0"/>
              <w:rPr>
                <w:sz w:val="20"/>
                <w:szCs w:val="20"/>
                <w:color w:val="auto"/>
              </w:rPr>
            </w:pPr>
            <w:r>
              <w:rPr>
                <w:rFonts w:ascii="Arial" w:cs="Arial" w:eastAsia="Arial" w:hAnsi="Arial"/>
                <w:sz w:val="14"/>
                <w:szCs w:val="14"/>
                <w:color w:val="1A475F"/>
              </w:rPr>
              <w:t>82.61</w:t>
            </w:r>
          </w:p>
        </w:tc>
        <w:tc>
          <w:tcPr>
            <w:tcW w:w="18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color w:val="1A475F"/>
              </w:rPr>
              <w:t>80,641</w:t>
            </w:r>
          </w:p>
        </w:tc>
        <w:tc>
          <w:tcPr>
            <w:tcW w:w="640" w:type="dxa"/>
            <w:vAlign w:val="bottom"/>
          </w:tcPr>
          <w:p>
            <w:pPr>
              <w:jc w:val="right"/>
              <w:spacing w:after="0"/>
              <w:rPr>
                <w:sz w:val="20"/>
                <w:szCs w:val="20"/>
                <w:color w:val="auto"/>
              </w:rPr>
            </w:pPr>
            <w:r>
              <w:rPr>
                <w:rFonts w:ascii="Arial" w:cs="Arial" w:eastAsia="Arial" w:hAnsi="Arial"/>
                <w:sz w:val="14"/>
                <w:szCs w:val="14"/>
                <w:color w:val="1A475F"/>
              </w:rPr>
              <w:t>316,994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shd w:val="clear" w:color="auto" w:fill="CCEEFF"/>
          </w:tcPr>
          <w:p>
            <w:pPr>
              <w:spacing w:after="0"/>
              <w:rPr>
                <w:sz w:val="20"/>
                <w:szCs w:val="20"/>
                <w:color w:val="auto"/>
              </w:rPr>
            </w:pPr>
            <w:r>
              <w:rPr>
                <w:rFonts w:ascii="Arial" w:cs="Arial" w:eastAsia="Arial" w:hAnsi="Arial"/>
                <w:sz w:val="14"/>
                <w:szCs w:val="14"/>
                <w:color w:val="1A475F"/>
              </w:rPr>
              <w:t>2021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4,237,306</w:t>
            </w: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1A475F"/>
              </w:rPr>
              <w:t>(70,237)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A475F"/>
              </w:rPr>
              <w:t>1,507,741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A475F"/>
              </w:rPr>
              <w:t>88,941</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1A475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72.76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1A475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112.73</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1A475F"/>
              </w:rPr>
              <w:t>70,459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1A475F"/>
              </w:rPr>
              <w:t>272,068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80645</wp:posOffset>
            </wp:positionV>
            <wp:extent cx="65405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4" w:lineRule="exact"/>
        <w:rPr>
          <w:sz w:val="20"/>
          <w:szCs w:val="20"/>
          <w:color w:val="auto"/>
        </w:rPr>
      </w:pPr>
    </w:p>
    <w:p>
      <w:pPr>
        <w:ind w:left="1280" w:right="120" w:hanging="379"/>
        <w:spacing w:after="0" w:line="248" w:lineRule="auto"/>
        <w:tabs>
          <w:tab w:leader="none" w:pos="1280" w:val="left"/>
        </w:tabs>
        <w:numPr>
          <w:ilvl w:val="0"/>
          <w:numId w:val="73"/>
        </w:numPr>
        <w:rPr>
          <w:rFonts w:ascii="Arial" w:cs="Arial" w:eastAsia="Arial" w:hAnsi="Arial"/>
          <w:sz w:val="12"/>
          <w:szCs w:val="12"/>
          <w:color w:val="1A475F"/>
        </w:rPr>
      </w:pPr>
      <w:r>
        <w:rPr>
          <w:rFonts w:ascii="Arial" w:cs="Arial" w:eastAsia="Arial" w:hAnsi="Arial"/>
          <w:sz w:val="12"/>
          <w:szCs w:val="12"/>
          <w:color w:val="1A475F"/>
        </w:rPr>
        <w:t>Amounts reported for Ms. Marshall are converted from British pounds to U.S. dollars using the following average exchange rates: 1.3181 U.S. dollars per 1.00 British pound for 2025; 1.2779 U.S. dollars per 1.00 British pound for 2024; 1.2434 U.S. dollars per 1.00 British pound for 2023; and 1.2374 U.S. dollars per 1.00 British pound for 2022.</w:t>
      </w:r>
    </w:p>
    <w:p>
      <w:pPr>
        <w:spacing w:after="0" w:line="1" w:lineRule="exact"/>
        <w:rPr>
          <w:sz w:val="20"/>
          <w:szCs w:val="20"/>
          <w:color w:val="auto"/>
        </w:rPr>
      </w:pPr>
    </w:p>
    <w:p>
      <w:pPr>
        <w:ind w:left="1280" w:right="140" w:hanging="379"/>
        <w:spacing w:after="0" w:line="241" w:lineRule="auto"/>
        <w:tabs>
          <w:tab w:leader="none" w:pos="1280" w:val="left"/>
        </w:tabs>
        <w:numPr>
          <w:ilvl w:val="0"/>
          <w:numId w:val="74"/>
        </w:numPr>
        <w:rPr>
          <w:rFonts w:ascii="Arial" w:cs="Arial" w:eastAsia="Arial" w:hAnsi="Arial"/>
          <w:sz w:val="12"/>
          <w:szCs w:val="12"/>
          <w:color w:val="1A475F"/>
        </w:rPr>
      </w:pPr>
      <w:r>
        <w:rPr>
          <w:rFonts w:ascii="Arial" w:cs="Arial" w:eastAsia="Arial" w:hAnsi="Arial"/>
          <w:sz w:val="12"/>
          <w:szCs w:val="12"/>
          <w:color w:val="1A475F"/>
        </w:rPr>
        <w:t>Reflects the total compensation reported for our PEO, Mr. Kramer, in the “Summary Compensation Table” for each fiscal year presented. Mr. Kramer served as PEO for each of the covered fiscal years presented.</w:t>
      </w:r>
    </w:p>
    <w:p>
      <w:pPr>
        <w:ind w:left="1280" w:right="40" w:hanging="379"/>
        <w:spacing w:after="0" w:line="241" w:lineRule="auto"/>
        <w:tabs>
          <w:tab w:leader="none" w:pos="1280" w:val="left"/>
        </w:tabs>
        <w:numPr>
          <w:ilvl w:val="0"/>
          <w:numId w:val="74"/>
        </w:numPr>
        <w:rPr>
          <w:rFonts w:ascii="Arial" w:cs="Arial" w:eastAsia="Arial" w:hAnsi="Arial"/>
          <w:sz w:val="12"/>
          <w:szCs w:val="12"/>
          <w:color w:val="1A475F"/>
        </w:rPr>
      </w:pPr>
      <w:r>
        <w:rPr>
          <w:rFonts w:ascii="Arial" w:cs="Arial" w:eastAsia="Arial" w:hAnsi="Arial"/>
          <w:sz w:val="12"/>
          <w:szCs w:val="12"/>
          <w:color w:val="1A475F"/>
        </w:rPr>
        <w:t>See below for calculation of “compensation actually paid” or “CAP” to the PEO and Non-PEO NEOs. The dollar amounts reported represent the amount of CAP as computed in accordance with applicable SEC rules. The dollar amounts do not reflect the actual amounts of compensation paid to our PEO or Non-PEO NEOs during the covered fiscal year, but reflect (i) the fair value as of the end of the covered fiscal year of all equity awards granted during the covered fiscal year that are outstanding and unvested as of the end of the covered fiscal year, (ii) the change in fair value as of the end of the covered fiscal year (from the end of the prior fiscal year) of any equity awards granted in any prior fiscal year that were outstanding and unvested at the end of the covered fiscal year, and (iii) the change in fair value as of the vesting date (from the end of the prior fiscal year) of any equity awards granted in any prior fiscal year for which all applicable vesting conditions were satisfied at the end of or during the covered fiscal year.</w:t>
      </w:r>
    </w:p>
    <w:p>
      <w:pPr>
        <w:spacing w:after="0" w:line="2" w:lineRule="exact"/>
        <w:rPr>
          <w:rFonts w:ascii="Arial" w:cs="Arial" w:eastAsia="Arial" w:hAnsi="Arial"/>
          <w:sz w:val="12"/>
          <w:szCs w:val="12"/>
          <w:color w:val="1A475F"/>
        </w:rPr>
      </w:pPr>
    </w:p>
    <w:p>
      <w:pPr>
        <w:ind w:left="1280" w:right="320" w:hanging="379"/>
        <w:spacing w:after="0" w:line="241" w:lineRule="auto"/>
        <w:tabs>
          <w:tab w:leader="none" w:pos="1280" w:val="left"/>
        </w:tabs>
        <w:numPr>
          <w:ilvl w:val="0"/>
          <w:numId w:val="74"/>
        </w:numPr>
        <w:rPr>
          <w:rFonts w:ascii="Arial" w:cs="Arial" w:eastAsia="Arial" w:hAnsi="Arial"/>
          <w:sz w:val="12"/>
          <w:szCs w:val="12"/>
          <w:color w:val="1A475F"/>
        </w:rPr>
      </w:pPr>
      <w:r>
        <w:rPr>
          <w:rFonts w:ascii="Arial" w:cs="Arial" w:eastAsia="Arial" w:hAnsi="Arial"/>
          <w:sz w:val="12"/>
          <w:szCs w:val="12"/>
          <w:color w:val="1A475F"/>
        </w:rPr>
        <w:t>Reflects the average total compensation reported for our Non-PEO NEOs in the “Summary Compensation Table” for each fiscal year presented. The other NEOs reflected in the columns above represent compensation for the following individuals for each of the years shown:</w:t>
      </w:r>
    </w:p>
    <w:p>
      <w:pPr>
        <w:jc w:val="both"/>
        <w:ind w:left="1660" w:right="3620"/>
        <w:spacing w:after="0" w:line="241" w:lineRule="auto"/>
        <w:rPr>
          <w:rFonts w:ascii="Arial" w:cs="Arial" w:eastAsia="Arial" w:hAnsi="Arial"/>
          <w:sz w:val="12"/>
          <w:szCs w:val="12"/>
          <w:color w:val="1A475F"/>
        </w:rPr>
      </w:pPr>
      <w:r>
        <w:rPr>
          <w:rFonts w:ascii="Arial" w:cs="Arial" w:eastAsia="Arial" w:hAnsi="Arial"/>
          <w:sz w:val="12"/>
          <w:szCs w:val="12"/>
          <w:color w:val="1A475F"/>
        </w:rPr>
        <w:t>•  2025 - Mandy Berman, Elizabeth Boland, Mary Lou Burke Afonso and Rosamund Marshall. •  2024 - Mandy Berman, Elizabeth Boland, Mary Lou Burke Afonso and Rosamund Marshall. •  2023 - Mandy Berman, Elizabeth Boland, Mary Lou Burke Afonso and Rosamund Marshall.</w:t>
      </w:r>
    </w:p>
    <w:p>
      <w:pPr>
        <w:spacing w:after="0" w:line="1" w:lineRule="exact"/>
        <w:rPr>
          <w:rFonts w:ascii="Arial" w:cs="Arial" w:eastAsia="Arial" w:hAnsi="Arial"/>
          <w:sz w:val="12"/>
          <w:szCs w:val="12"/>
          <w:color w:val="1A475F"/>
        </w:rPr>
      </w:pPr>
    </w:p>
    <w:p>
      <w:pPr>
        <w:ind w:left="1660" w:right="3480"/>
        <w:spacing w:after="0" w:line="241" w:lineRule="auto"/>
        <w:rPr>
          <w:rFonts w:ascii="Arial" w:cs="Arial" w:eastAsia="Arial" w:hAnsi="Arial"/>
          <w:sz w:val="12"/>
          <w:szCs w:val="12"/>
          <w:color w:val="1A475F"/>
        </w:rPr>
      </w:pPr>
      <w:r>
        <w:rPr>
          <w:rFonts w:ascii="Arial" w:cs="Arial" w:eastAsia="Arial" w:hAnsi="Arial"/>
          <w:sz w:val="12"/>
          <w:szCs w:val="12"/>
          <w:color w:val="1A475F"/>
        </w:rPr>
        <w:t>•  2022 - Elizabeth Boland, Mary Lou Burke Afonso, John Casagrande and Rosamund Marshall. •  2021 - Maribeth Bearfield, Elizabeth Boland, Mary Lou Burke Afonso and John Casagrande.</w:t>
      </w:r>
    </w:p>
    <w:p>
      <w:pPr>
        <w:ind w:left="1280" w:right="60" w:hanging="379"/>
        <w:spacing w:after="0" w:line="241" w:lineRule="auto"/>
        <w:tabs>
          <w:tab w:leader="none" w:pos="1280" w:val="left"/>
        </w:tabs>
        <w:numPr>
          <w:ilvl w:val="0"/>
          <w:numId w:val="74"/>
        </w:numPr>
        <w:rPr>
          <w:rFonts w:ascii="Arial" w:cs="Arial" w:eastAsia="Arial" w:hAnsi="Arial"/>
          <w:sz w:val="12"/>
          <w:szCs w:val="12"/>
          <w:color w:val="1A475F"/>
        </w:rPr>
      </w:pPr>
      <w:r>
        <w:rPr>
          <w:rFonts w:ascii="Arial" w:cs="Arial" w:eastAsia="Arial" w:hAnsi="Arial"/>
          <w:sz w:val="12"/>
          <w:szCs w:val="12"/>
          <w:color w:val="1A475F"/>
        </w:rPr>
        <w:t xml:space="preserve">Reflects cumulative total shareholder return if $100 was invested as of December 31, 2020. Reflects the total shareholder return of the Russell Midcap Growth Index, as of December 31, 2025, 2024, 2023, 2022 and 2021, respectively, weighted according to the constituent companies’ market capitalization at the beginning of each period for which a return is indicated. The constituent companies of the Russell Midcap Growth Index are attached to this Proxy Statement on </w:t>
      </w:r>
      <w:r>
        <w:rPr>
          <w:rFonts w:ascii="Arial" w:cs="Arial" w:eastAsia="Arial" w:hAnsi="Arial"/>
          <w:sz w:val="12"/>
          <w:szCs w:val="12"/>
          <w:i w:val="1"/>
          <w:iCs w:val="1"/>
          <w:color w:val="1A475F"/>
        </w:rPr>
        <w:t>Appendix A</w:t>
      </w:r>
      <w:r>
        <w:rPr>
          <w:rFonts w:ascii="Arial" w:cs="Arial" w:eastAsia="Arial" w:hAnsi="Arial"/>
          <w:sz w:val="12"/>
          <w:szCs w:val="12"/>
          <w:color w:val="1A475F"/>
        </w:rPr>
        <w:t xml:space="preserve">. The Russell Midcap Growth Index is the index used by the Company for purposes of Item 201(e) of Regulation S-K under the Exchange Act in the Company’s 2025 Annual Report. The Company selected the Russell Midcap Growth Index as a comparable as there is a lack of public company comparables in our industry, with most of our peers operating as private companies or divisions of larger diversified companies, and there are no widely recognized published industry indices. We determined that an equity index for companies with similar market capitalization and growth objectives would provide for an appropriate peer group, and we believe the Russell Midcap Growth Index provides the best means of comparison to the Company. The Russell Midcap Growth Index is a subset of the Russell 1000 Index and is composed of select companies from the 800 smallest companies of the Russell 1000 Index (Russell Midcap Index) that display higher price-to-book ratios and higher forecasted growth values. </w:t>
      </w:r>
      <w:r>
        <w:rPr>
          <w:rFonts w:ascii="Arial" w:cs="Arial" w:eastAsia="Arial" w:hAnsi="Arial"/>
          <w:sz w:val="12"/>
          <w:szCs w:val="12"/>
          <w:i w:val="1"/>
          <w:iCs w:val="1"/>
          <w:color w:val="1A475F"/>
        </w:rPr>
        <w:t>Source: Zacks Investment Research, Inc. Used with permission. All rights reserved. Copyright 1980-2026.</w:t>
      </w:r>
    </w:p>
    <w:p>
      <w:pPr>
        <w:spacing w:after="0" w:line="3" w:lineRule="exact"/>
        <w:rPr>
          <w:rFonts w:ascii="Arial" w:cs="Arial" w:eastAsia="Arial" w:hAnsi="Arial"/>
          <w:sz w:val="12"/>
          <w:szCs w:val="12"/>
          <w:color w:val="1A475F"/>
        </w:rPr>
      </w:pPr>
    </w:p>
    <w:p>
      <w:pPr>
        <w:ind w:left="1280" w:right="20" w:hanging="379"/>
        <w:spacing w:after="0" w:line="241" w:lineRule="auto"/>
        <w:tabs>
          <w:tab w:leader="none" w:pos="1280" w:val="left"/>
        </w:tabs>
        <w:numPr>
          <w:ilvl w:val="0"/>
          <w:numId w:val="74"/>
        </w:numPr>
        <w:rPr>
          <w:rFonts w:ascii="Arial" w:cs="Arial" w:eastAsia="Arial" w:hAnsi="Arial"/>
          <w:sz w:val="12"/>
          <w:szCs w:val="12"/>
          <w:color w:val="1A475F"/>
        </w:rPr>
      </w:pPr>
      <w:r>
        <w:rPr>
          <w:rFonts w:ascii="Arial" w:cs="Arial" w:eastAsia="Arial" w:hAnsi="Arial"/>
          <w:sz w:val="12"/>
          <w:szCs w:val="12"/>
          <w:color w:val="1A475F"/>
        </w:rPr>
        <w:t>Reflects “Net Income” as reported in the Company’s Consolidated Statement of Income included in the Company’s Annual Reports on Form 10-K for each of the years ended December 31, 2025, 2024, 2023, 2022 and 2021.</w:t>
      </w:r>
    </w:p>
    <w:p>
      <w:pPr>
        <w:ind w:left="1280" w:right="40" w:hanging="379"/>
        <w:spacing w:after="0" w:line="248" w:lineRule="auto"/>
        <w:tabs>
          <w:tab w:leader="none" w:pos="1280" w:val="left"/>
        </w:tabs>
        <w:numPr>
          <w:ilvl w:val="0"/>
          <w:numId w:val="74"/>
        </w:numPr>
        <w:rPr>
          <w:rFonts w:ascii="Arial" w:cs="Arial" w:eastAsia="Arial" w:hAnsi="Arial"/>
          <w:sz w:val="12"/>
          <w:szCs w:val="12"/>
          <w:color w:val="1A475F"/>
        </w:rPr>
      </w:pPr>
      <w:r>
        <w:rPr>
          <w:rFonts w:ascii="Arial" w:cs="Arial" w:eastAsia="Arial" w:hAnsi="Arial"/>
          <w:sz w:val="12"/>
          <w:szCs w:val="12"/>
          <w:color w:val="1A475F"/>
        </w:rPr>
        <w:t>The Company-Selected Measure is Adjusted EBITDA, which is further described under “Pay versus Performance: Most Important Measures” below. Adjusted EBITDA is a financial measure not calculated in accordance with GAAP, which is commonly referred to as a “non-GAAP measure.” For 2025, Adjusted EBITDA represents EBITDA (which is net income, as determined in accordance with GAAP, before interest expense, income tax expense, depreciation and amortization) adjusted to exclude the impact of stock-based compensation expense and</w:t>
      </w:r>
    </w:p>
    <w:p>
      <w:pPr>
        <w:spacing w:after="0" w:line="92"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52</w:t>
        <w:tab/>
        <w:t>|    Bright Horizons </w:t>
      </w:r>
    </w:p>
    <w:p>
      <w:pPr>
        <w:sectPr>
          <w:pgSz w:w="11900" w:h="16838" w:orient="portrait"/>
          <w:cols w:equalWidth="0" w:num="1">
            <w:col w:w="10360"/>
          </w:cols>
          <w:pgMar w:left="320" w:top="434" w:right="12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90" w:lineRule="exact"/>
        <w:rPr>
          <w:sz w:val="20"/>
          <w:szCs w:val="20"/>
          <w:color w:val="auto"/>
        </w:rPr>
      </w:pPr>
    </w:p>
    <w:p>
      <w:pPr>
        <w:ind w:left="1280" w:right="1260"/>
        <w:spacing w:after="0" w:line="255" w:lineRule="auto"/>
        <w:rPr>
          <w:sz w:val="20"/>
          <w:szCs w:val="20"/>
          <w:color w:val="auto"/>
        </w:rPr>
      </w:pPr>
      <w:r>
        <w:rPr>
          <w:rFonts w:ascii="Arial" w:cs="Arial" w:eastAsia="Arial" w:hAnsi="Arial"/>
          <w:sz w:val="12"/>
          <w:szCs w:val="12"/>
          <w:color w:val="1A475F"/>
        </w:rPr>
        <w:t>non-recurring costs, such as impairment and net lease termination costs, debt refinance costs and, at times, other non-recurring costs, such as transaction costs. Please see “Item 7. Management’s Discussion and Analysis of Financial Condition—Non-GAAP Financial Measures and Reconciliation” in our Annual Reports on Form 10-K for 2025, 2024, 2023, 2022 and 2021 for additional information on Adjusted EBITDA and a reconciliation of this non-GAAP financial measure to its respective measure determined under GAAP.</w:t>
      </w:r>
    </w:p>
    <w:p>
      <w:pPr>
        <w:spacing w:after="0" w:line="55" w:lineRule="exact"/>
        <w:rPr>
          <w:sz w:val="20"/>
          <w:szCs w:val="20"/>
          <w:color w:val="auto"/>
        </w:rPr>
      </w:pPr>
    </w:p>
    <w:p>
      <w:pPr>
        <w:jc w:val="both"/>
        <w:ind w:left="900" w:right="1180" w:firstLine="756"/>
        <w:spacing w:after="0" w:line="261" w:lineRule="auto"/>
        <w:rPr>
          <w:sz w:val="20"/>
          <w:szCs w:val="20"/>
          <w:color w:val="auto"/>
        </w:rPr>
      </w:pPr>
      <w:r>
        <w:rPr>
          <w:rFonts w:ascii="Arial" w:cs="Arial" w:eastAsia="Arial" w:hAnsi="Arial"/>
          <w:sz w:val="15"/>
          <w:szCs w:val="15"/>
          <w:color w:val="1A475F"/>
        </w:rPr>
        <w:t>To calculate the amounts in the “Compensation Actually Paid to PEO” column in the table above, the following amounts were deducted from or added to (as applicable) our PEO’s “Total” compensation as reported in the “Summary Compensation Table” for each covered fiscal year:</w:t>
      </w:r>
    </w:p>
    <w:p>
      <w:pPr>
        <w:spacing w:after="0" w:line="169"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8"/>
              </w:rPr>
              <w:t>Change in Fair</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rPr>
              <w:t>Summary</w:t>
            </w: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rPr>
              <w:t>Change in Fair</w:t>
            </w:r>
          </w:p>
        </w:tc>
        <w:tc>
          <w:tcPr>
            <w:tcW w:w="1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8"/>
              </w:rPr>
              <w:t>Value of Equity</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8"/>
              </w:rPr>
              <w:t>Compensation</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A475F"/>
                <w:w w:val="97"/>
              </w:rPr>
              <w:t>Fair Value of</w:t>
            </w:r>
          </w:p>
        </w:tc>
        <w:tc>
          <w:tcPr>
            <w:tcW w:w="1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9"/>
              </w:rPr>
              <w:t>Value of</w:t>
            </w:r>
          </w:p>
        </w:tc>
        <w:tc>
          <w:tcPr>
            <w:tcW w:w="1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8"/>
              </w:rPr>
              <w:t>Awards from</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ind w:left="520"/>
              <w:spacing w:after="0"/>
              <w:rPr>
                <w:sz w:val="20"/>
                <w:szCs w:val="20"/>
                <w:color w:val="auto"/>
              </w:rPr>
            </w:pPr>
            <w:r>
              <w:rPr>
                <w:rFonts w:ascii="Arial" w:cs="Arial" w:eastAsia="Arial" w:hAnsi="Arial"/>
                <w:sz w:val="14"/>
                <w:szCs w:val="14"/>
                <w:b w:val="1"/>
                <w:bCs w:val="1"/>
                <w:color w:val="1A475F"/>
              </w:rPr>
              <w:t>Summary</w:t>
            </w: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8"/>
              </w:rPr>
              <w:t>Table Reported</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A475F"/>
                <w:w w:val="98"/>
              </w:rPr>
              <w:t>Equity Awards</w:t>
            </w:r>
          </w:p>
        </w:tc>
        <w:tc>
          <w:tcPr>
            <w:tcW w:w="1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rPr>
              <w:t>Unvested Equity</w:t>
            </w:r>
          </w:p>
        </w:tc>
        <w:tc>
          <w:tcPr>
            <w:tcW w:w="1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1A475F"/>
                <w:w w:val="97"/>
              </w:rPr>
              <w:t>Prior Years that</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1A475F"/>
              </w:rPr>
              <w:t>Compensation</w:t>
            </w: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8"/>
              </w:rPr>
              <w:t>Value of Equity</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A475F"/>
                <w:w w:val="98"/>
              </w:rPr>
              <w:t>Granted in the</w:t>
            </w:r>
          </w:p>
        </w:tc>
        <w:tc>
          <w:tcPr>
            <w:tcW w:w="1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7"/>
              </w:rPr>
              <w:t>Awards Granted</w:t>
            </w:r>
          </w:p>
        </w:tc>
        <w:tc>
          <w:tcPr>
            <w:tcW w:w="1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6"/>
              </w:rPr>
              <w:t>Vested in</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1A475F"/>
              </w:rPr>
              <w:t>Compen</w:t>
            </w:r>
          </w:p>
        </w:tc>
        <w:tc>
          <w:tcPr>
            <w:tcW w:w="0" w:type="dxa"/>
            <w:vAlign w:val="bottom"/>
          </w:tcPr>
          <w:p>
            <w:pPr>
              <w:spacing w:after="0"/>
              <w:rPr>
                <w:sz w:val="1"/>
                <w:szCs w:val="1"/>
                <w:color w:val="auto"/>
              </w:rPr>
            </w:pPr>
          </w:p>
        </w:tc>
      </w:tr>
      <w:tr>
        <w:trPr>
          <w:trHeight w:val="162"/>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1A475F"/>
                <w:w w:val="92"/>
              </w:rPr>
              <w:t>Year</w:t>
            </w:r>
          </w:p>
        </w:tc>
        <w:tc>
          <w:tcPr>
            <w:tcW w:w="140" w:type="dxa"/>
            <w:vAlign w:val="bottom"/>
            <w:vMerge w:val="restart"/>
          </w:tcPr>
          <w:p>
            <w:pPr>
              <w:spacing w:after="0"/>
              <w:rPr>
                <w:sz w:val="14"/>
                <w:szCs w:val="14"/>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1A475F"/>
              </w:rPr>
              <w:t>Table Total for</w:t>
            </w: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7"/>
              </w:rPr>
              <w:t>Awards for PEO</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A475F"/>
                <w:w w:val="97"/>
              </w:rPr>
              <w:t>Covered Year</w:t>
            </w:r>
          </w:p>
        </w:tc>
        <w:tc>
          <w:tcPr>
            <w:tcW w:w="1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8"/>
              </w:rPr>
              <w:t>in Prior Years</w:t>
            </w:r>
          </w:p>
        </w:tc>
        <w:tc>
          <w:tcPr>
            <w:tcW w:w="1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A475F"/>
                <w:w w:val="97"/>
              </w:rPr>
              <w:t>Covered Year</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1A475F"/>
              </w:rPr>
              <w:t>Actually</w:t>
            </w:r>
          </w:p>
        </w:tc>
        <w:tc>
          <w:tcPr>
            <w:tcW w:w="0" w:type="dxa"/>
            <w:vAlign w:val="bottom"/>
          </w:tcPr>
          <w:p>
            <w:pPr>
              <w:spacing w:after="0"/>
              <w:rPr>
                <w:sz w:val="1"/>
                <w:szCs w:val="1"/>
                <w:color w:val="auto"/>
              </w:rPr>
            </w:pPr>
          </w:p>
        </w:tc>
      </w:tr>
      <w:tr>
        <w:trPr>
          <w:trHeight w:val="183"/>
        </w:trPr>
        <w:tc>
          <w:tcPr>
            <w:tcW w:w="3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780" w:type="dxa"/>
            <w:vAlign w:val="bottom"/>
            <w:gridSpan w:val="2"/>
          </w:tcPr>
          <w:p>
            <w:pPr>
              <w:ind w:left="540"/>
              <w:spacing w:after="0" w:line="163" w:lineRule="exact"/>
              <w:rPr>
                <w:sz w:val="20"/>
                <w:szCs w:val="20"/>
                <w:color w:val="auto"/>
              </w:rPr>
            </w:pPr>
            <w:r>
              <w:rPr>
                <w:rFonts w:ascii="Arial" w:cs="Arial" w:eastAsia="Arial" w:hAnsi="Arial"/>
                <w:sz w:val="14"/>
                <w:szCs w:val="14"/>
                <w:b w:val="1"/>
                <w:bCs w:val="1"/>
                <w:color w:val="1A475F"/>
              </w:rPr>
              <w:t>PEO ($)</w:t>
            </w:r>
            <w:r>
              <w:rPr>
                <w:rFonts w:ascii="Arial" w:cs="Arial" w:eastAsia="Arial" w:hAnsi="Arial"/>
                <w:sz w:val="17"/>
                <w:szCs w:val="17"/>
                <w:b w:val="1"/>
                <w:bCs w:val="1"/>
                <w:color w:val="1A475F"/>
                <w:vertAlign w:val="superscript"/>
              </w:rPr>
              <w:t>(1)</w:t>
            </w:r>
          </w:p>
        </w:tc>
        <w:tc>
          <w:tcPr>
            <w:tcW w:w="1840" w:type="dxa"/>
            <w:vAlign w:val="bottom"/>
          </w:tcPr>
          <w:p>
            <w:pPr>
              <w:jc w:val="center"/>
              <w:spacing w:after="0" w:line="163" w:lineRule="exact"/>
              <w:rPr>
                <w:sz w:val="20"/>
                <w:szCs w:val="20"/>
                <w:color w:val="auto"/>
              </w:rPr>
            </w:pPr>
            <w:r>
              <w:rPr>
                <w:rFonts w:ascii="Arial" w:cs="Arial" w:eastAsia="Arial" w:hAnsi="Arial"/>
                <w:sz w:val="18"/>
                <w:szCs w:val="18"/>
                <w:b w:val="1"/>
                <w:bCs w:val="1"/>
                <w:color w:val="1A475F"/>
                <w:vertAlign w:val="subscript"/>
              </w:rPr>
              <w:t>($)</w:t>
            </w:r>
            <w:r>
              <w:rPr>
                <w:rFonts w:ascii="Arial" w:cs="Arial" w:eastAsia="Arial" w:hAnsi="Arial"/>
                <w:sz w:val="7"/>
                <w:szCs w:val="7"/>
                <w:b w:val="1"/>
                <w:bCs w:val="1"/>
                <w:color w:val="1A475F"/>
              </w:rPr>
              <w:t>(2)(3)</w:t>
            </w:r>
          </w:p>
        </w:tc>
        <w:tc>
          <w:tcPr>
            <w:tcW w:w="40" w:type="dxa"/>
            <w:vAlign w:val="bottom"/>
          </w:tcPr>
          <w:p>
            <w:pPr>
              <w:spacing w:after="0"/>
              <w:rPr>
                <w:sz w:val="15"/>
                <w:szCs w:val="15"/>
                <w:color w:val="auto"/>
              </w:rPr>
            </w:pPr>
          </w:p>
        </w:tc>
        <w:tc>
          <w:tcPr>
            <w:tcW w:w="1700" w:type="dxa"/>
            <w:vAlign w:val="bottom"/>
          </w:tcPr>
          <w:p>
            <w:pPr>
              <w:jc w:val="center"/>
              <w:spacing w:after="0" w:line="163" w:lineRule="exact"/>
              <w:rPr>
                <w:sz w:val="20"/>
                <w:szCs w:val="20"/>
                <w:color w:val="auto"/>
              </w:rPr>
            </w:pPr>
            <w:r>
              <w:rPr>
                <w:rFonts w:ascii="Arial" w:cs="Arial" w:eastAsia="Arial" w:hAnsi="Arial"/>
                <w:sz w:val="18"/>
                <w:szCs w:val="18"/>
                <w:b w:val="1"/>
                <w:bCs w:val="1"/>
                <w:color w:val="1A475F"/>
                <w:vertAlign w:val="subscript"/>
              </w:rPr>
              <w:t>($)</w:t>
            </w:r>
            <w:r>
              <w:rPr>
                <w:rFonts w:ascii="Arial" w:cs="Arial" w:eastAsia="Arial" w:hAnsi="Arial"/>
                <w:sz w:val="7"/>
                <w:szCs w:val="7"/>
                <w:b w:val="1"/>
                <w:bCs w:val="1"/>
                <w:color w:val="1A475F"/>
              </w:rPr>
              <w:t>(3)(4)(5)</w:t>
            </w:r>
          </w:p>
        </w:tc>
        <w:tc>
          <w:tcPr>
            <w:tcW w:w="80" w:type="dxa"/>
            <w:vAlign w:val="bottom"/>
          </w:tcPr>
          <w:p>
            <w:pPr>
              <w:spacing w:after="0"/>
              <w:rPr>
                <w:sz w:val="15"/>
                <w:szCs w:val="15"/>
                <w:color w:val="auto"/>
              </w:rPr>
            </w:pPr>
          </w:p>
        </w:tc>
        <w:tc>
          <w:tcPr>
            <w:tcW w:w="1860" w:type="dxa"/>
            <w:vAlign w:val="bottom"/>
          </w:tcPr>
          <w:p>
            <w:pPr>
              <w:jc w:val="center"/>
              <w:spacing w:after="0" w:line="163" w:lineRule="exact"/>
              <w:rPr>
                <w:sz w:val="20"/>
                <w:szCs w:val="20"/>
                <w:color w:val="auto"/>
              </w:rPr>
            </w:pPr>
            <w:r>
              <w:rPr>
                <w:rFonts w:ascii="Arial" w:cs="Arial" w:eastAsia="Arial" w:hAnsi="Arial"/>
                <w:sz w:val="14"/>
                <w:szCs w:val="14"/>
                <w:b w:val="1"/>
                <w:bCs w:val="1"/>
                <w:color w:val="1A475F"/>
                <w:w w:val="90"/>
              </w:rPr>
              <w:t>($)</w:t>
            </w:r>
            <w:r>
              <w:rPr>
                <w:rFonts w:ascii="Arial" w:cs="Arial" w:eastAsia="Arial" w:hAnsi="Arial"/>
                <w:sz w:val="17"/>
                <w:szCs w:val="17"/>
                <w:b w:val="1"/>
                <w:bCs w:val="1"/>
                <w:color w:val="1A475F"/>
                <w:w w:val="90"/>
                <w:vertAlign w:val="superscript"/>
              </w:rPr>
              <w:t>(5)</w:t>
            </w:r>
          </w:p>
        </w:tc>
        <w:tc>
          <w:tcPr>
            <w:tcW w:w="40" w:type="dxa"/>
            <w:vAlign w:val="bottom"/>
          </w:tcPr>
          <w:p>
            <w:pPr>
              <w:spacing w:after="0"/>
              <w:rPr>
                <w:sz w:val="15"/>
                <w:szCs w:val="15"/>
                <w:color w:val="auto"/>
              </w:rPr>
            </w:pPr>
          </w:p>
        </w:tc>
        <w:tc>
          <w:tcPr>
            <w:tcW w:w="1640" w:type="dxa"/>
            <w:vAlign w:val="bottom"/>
          </w:tcPr>
          <w:p>
            <w:pPr>
              <w:jc w:val="center"/>
              <w:spacing w:after="0" w:line="163" w:lineRule="exact"/>
              <w:rPr>
                <w:sz w:val="20"/>
                <w:szCs w:val="20"/>
                <w:color w:val="auto"/>
              </w:rPr>
            </w:pPr>
            <w:r>
              <w:rPr>
                <w:rFonts w:ascii="Arial" w:cs="Arial" w:eastAsia="Arial" w:hAnsi="Arial"/>
                <w:sz w:val="14"/>
                <w:szCs w:val="14"/>
                <w:b w:val="1"/>
                <w:bCs w:val="1"/>
                <w:color w:val="1A475F"/>
                <w:w w:val="90"/>
              </w:rPr>
              <w:t>($)</w:t>
            </w:r>
            <w:r>
              <w:rPr>
                <w:rFonts w:ascii="Arial" w:cs="Arial" w:eastAsia="Arial" w:hAnsi="Arial"/>
                <w:sz w:val="17"/>
                <w:szCs w:val="17"/>
                <w:b w:val="1"/>
                <w:bCs w:val="1"/>
                <w:color w:val="1A475F"/>
                <w:w w:val="90"/>
                <w:vertAlign w:val="superscript"/>
              </w:rPr>
              <w:t>(5)</w:t>
            </w:r>
          </w:p>
        </w:tc>
        <w:tc>
          <w:tcPr>
            <w:tcW w:w="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1A475F"/>
              </w:rPr>
              <w:t>PEO</w:t>
            </w:r>
          </w:p>
        </w:tc>
        <w:tc>
          <w:tcPr>
            <w:tcW w:w="0" w:type="dxa"/>
            <w:vAlign w:val="bottom"/>
          </w:tcPr>
          <w:p>
            <w:pPr>
              <w:spacing w:after="0"/>
              <w:rPr>
                <w:sz w:val="1"/>
                <w:szCs w:val="1"/>
                <w:color w:val="auto"/>
              </w:rPr>
            </w:pPr>
          </w:p>
        </w:tc>
      </w:tr>
      <w:tr>
        <w:trPr>
          <w:trHeight w:val="157"/>
        </w:trPr>
        <w:tc>
          <w:tcPr>
            <w:tcW w:w="4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5"/>
                <w:szCs w:val="15"/>
                <w:color w:val="1A475F"/>
              </w:rPr>
              <w:t>2025</w:t>
            </w:r>
          </w:p>
        </w:tc>
        <w:tc>
          <w:tcPr>
            <w:tcW w:w="1700" w:type="dxa"/>
            <w:vAlign w:val="bottom"/>
            <w:tcBorders>
              <w:top w:val="single" w:sz="8" w:color="auto"/>
            </w:tcBorders>
            <w:shd w:val="clear" w:color="auto" w:fill="CCEEFF"/>
          </w:tcPr>
          <w:p>
            <w:pPr>
              <w:ind w:left="540"/>
              <w:spacing w:after="0" w:line="157" w:lineRule="exact"/>
              <w:rPr>
                <w:sz w:val="20"/>
                <w:szCs w:val="20"/>
                <w:color w:val="auto"/>
              </w:rPr>
            </w:pPr>
            <w:r>
              <w:rPr>
                <w:rFonts w:ascii="Arial" w:cs="Arial" w:eastAsia="Arial" w:hAnsi="Arial"/>
                <w:sz w:val="15"/>
                <w:szCs w:val="15"/>
                <w:color w:val="1A475F"/>
              </w:rPr>
              <w:t>5,303,738</w:t>
            </w:r>
          </w:p>
        </w:tc>
        <w:tc>
          <w:tcPr>
            <w:tcW w:w="8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right"/>
              <w:ind w:right="410"/>
              <w:spacing w:after="0" w:line="157" w:lineRule="exact"/>
              <w:rPr>
                <w:sz w:val="20"/>
                <w:szCs w:val="20"/>
                <w:color w:val="auto"/>
              </w:rPr>
            </w:pPr>
            <w:r>
              <w:rPr>
                <w:rFonts w:ascii="Arial" w:cs="Arial" w:eastAsia="Arial" w:hAnsi="Arial"/>
                <w:sz w:val="15"/>
                <w:szCs w:val="15"/>
                <w:color w:val="1A475F"/>
              </w:rPr>
              <w:t>(3,500,167)</w:t>
            </w:r>
          </w:p>
        </w:tc>
        <w:tc>
          <w:tcPr>
            <w:tcW w:w="4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ind w:right="410"/>
              <w:spacing w:after="0" w:line="157" w:lineRule="exact"/>
              <w:rPr>
                <w:sz w:val="20"/>
                <w:szCs w:val="20"/>
                <w:color w:val="auto"/>
              </w:rPr>
            </w:pPr>
            <w:r>
              <w:rPr>
                <w:rFonts w:ascii="Arial" w:cs="Arial" w:eastAsia="Arial" w:hAnsi="Arial"/>
                <w:sz w:val="15"/>
                <w:szCs w:val="15"/>
                <w:color w:val="1A475F"/>
              </w:rPr>
              <w:t>2,455,713</w:t>
            </w:r>
          </w:p>
        </w:tc>
        <w:tc>
          <w:tcPr>
            <w:tcW w:w="8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right"/>
              <w:ind w:right="407"/>
              <w:spacing w:after="0" w:line="157" w:lineRule="exact"/>
              <w:rPr>
                <w:sz w:val="20"/>
                <w:szCs w:val="20"/>
                <w:color w:val="auto"/>
              </w:rPr>
            </w:pPr>
            <w:r>
              <w:rPr>
                <w:rFonts w:ascii="Arial" w:cs="Arial" w:eastAsia="Arial" w:hAnsi="Arial"/>
                <w:sz w:val="15"/>
                <w:szCs w:val="15"/>
                <w:color w:val="1A475F"/>
              </w:rPr>
              <w:t>(825,234)</w:t>
            </w:r>
          </w:p>
        </w:tc>
        <w:tc>
          <w:tcPr>
            <w:tcW w:w="4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right"/>
              <w:ind w:right="447"/>
              <w:spacing w:after="0" w:line="157" w:lineRule="exact"/>
              <w:rPr>
                <w:sz w:val="20"/>
                <w:szCs w:val="20"/>
                <w:color w:val="auto"/>
              </w:rPr>
            </w:pPr>
            <w:r>
              <w:rPr>
                <w:rFonts w:ascii="Arial" w:cs="Arial" w:eastAsia="Arial" w:hAnsi="Arial"/>
                <w:sz w:val="15"/>
                <w:szCs w:val="15"/>
                <w:color w:val="1A475F"/>
              </w:rPr>
              <w:t>740,313</w:t>
            </w:r>
          </w:p>
        </w:tc>
        <w:tc>
          <w:tcPr>
            <w:tcW w:w="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1A475F"/>
              </w:rPr>
              <w:t>4,174</w:t>
            </w:r>
          </w:p>
        </w:tc>
        <w:tc>
          <w:tcPr>
            <w:tcW w:w="0" w:type="dxa"/>
            <w:vAlign w:val="bottom"/>
          </w:tcPr>
          <w:p>
            <w:pPr>
              <w:spacing w:after="0"/>
              <w:rPr>
                <w:sz w:val="1"/>
                <w:szCs w:val="1"/>
                <w:color w:val="auto"/>
              </w:rPr>
            </w:pPr>
          </w:p>
        </w:tc>
      </w:tr>
      <w:tr>
        <w:trPr>
          <w:trHeight w:val="174"/>
        </w:trPr>
        <w:tc>
          <w:tcPr>
            <w:tcW w:w="440" w:type="dxa"/>
            <w:vAlign w:val="bottom"/>
            <w:gridSpan w:val="2"/>
          </w:tcPr>
          <w:p>
            <w:pPr>
              <w:spacing w:after="0"/>
              <w:rPr>
                <w:sz w:val="20"/>
                <w:szCs w:val="20"/>
                <w:color w:val="auto"/>
              </w:rPr>
            </w:pPr>
            <w:r>
              <w:rPr>
                <w:rFonts w:ascii="Arial" w:cs="Arial" w:eastAsia="Arial" w:hAnsi="Arial"/>
                <w:sz w:val="15"/>
                <w:szCs w:val="15"/>
                <w:color w:val="1A475F"/>
              </w:rPr>
              <w:t>2024</w:t>
            </w:r>
          </w:p>
        </w:tc>
        <w:tc>
          <w:tcPr>
            <w:tcW w:w="1700" w:type="dxa"/>
            <w:vAlign w:val="bottom"/>
          </w:tcPr>
          <w:p>
            <w:pPr>
              <w:ind w:left="540"/>
              <w:spacing w:after="0"/>
              <w:rPr>
                <w:sz w:val="20"/>
                <w:szCs w:val="20"/>
                <w:color w:val="auto"/>
              </w:rPr>
            </w:pPr>
            <w:r>
              <w:rPr>
                <w:rFonts w:ascii="Arial" w:cs="Arial" w:eastAsia="Arial" w:hAnsi="Arial"/>
                <w:sz w:val="15"/>
                <w:szCs w:val="15"/>
                <w:color w:val="1A475F"/>
              </w:rPr>
              <w:t>5,154,263</w:t>
            </w:r>
          </w:p>
        </w:tc>
        <w:tc>
          <w:tcPr>
            <w:tcW w:w="80" w:type="dxa"/>
            <w:vAlign w:val="bottom"/>
          </w:tcPr>
          <w:p>
            <w:pPr>
              <w:spacing w:after="0"/>
              <w:rPr>
                <w:sz w:val="15"/>
                <w:szCs w:val="15"/>
                <w:color w:val="auto"/>
              </w:rPr>
            </w:pPr>
          </w:p>
        </w:tc>
        <w:tc>
          <w:tcPr>
            <w:tcW w:w="1840" w:type="dxa"/>
            <w:vAlign w:val="bottom"/>
          </w:tcPr>
          <w:p>
            <w:pPr>
              <w:jc w:val="right"/>
              <w:ind w:right="410"/>
              <w:spacing w:after="0"/>
              <w:rPr>
                <w:sz w:val="20"/>
                <w:szCs w:val="20"/>
                <w:color w:val="auto"/>
              </w:rPr>
            </w:pPr>
            <w:r>
              <w:rPr>
                <w:rFonts w:ascii="Arial" w:cs="Arial" w:eastAsia="Arial" w:hAnsi="Arial"/>
                <w:sz w:val="15"/>
                <w:szCs w:val="15"/>
                <w:color w:val="1A475F"/>
              </w:rPr>
              <w:t>(3,500,011)</w:t>
            </w:r>
          </w:p>
        </w:tc>
        <w:tc>
          <w:tcPr>
            <w:tcW w:w="40" w:type="dxa"/>
            <w:vAlign w:val="bottom"/>
          </w:tcPr>
          <w:p>
            <w:pPr>
              <w:spacing w:after="0"/>
              <w:rPr>
                <w:sz w:val="15"/>
                <w:szCs w:val="15"/>
                <w:color w:val="auto"/>
              </w:rPr>
            </w:pPr>
          </w:p>
        </w:tc>
        <w:tc>
          <w:tcPr>
            <w:tcW w:w="1700" w:type="dxa"/>
            <w:vAlign w:val="bottom"/>
          </w:tcPr>
          <w:p>
            <w:pPr>
              <w:jc w:val="right"/>
              <w:ind w:right="410"/>
              <w:spacing w:after="0"/>
              <w:rPr>
                <w:sz w:val="20"/>
                <w:szCs w:val="20"/>
                <w:color w:val="auto"/>
              </w:rPr>
            </w:pPr>
            <w:r>
              <w:rPr>
                <w:rFonts w:ascii="Arial" w:cs="Arial" w:eastAsia="Arial" w:hAnsi="Arial"/>
                <w:sz w:val="15"/>
                <w:szCs w:val="15"/>
                <w:color w:val="1A475F"/>
              </w:rPr>
              <w:t>3,189,588</w:t>
            </w:r>
          </w:p>
        </w:tc>
        <w:tc>
          <w:tcPr>
            <w:tcW w:w="80" w:type="dxa"/>
            <w:vAlign w:val="bottom"/>
          </w:tcPr>
          <w:p>
            <w:pPr>
              <w:spacing w:after="0"/>
              <w:rPr>
                <w:sz w:val="15"/>
                <w:szCs w:val="15"/>
                <w:color w:val="auto"/>
              </w:rPr>
            </w:pPr>
          </w:p>
        </w:tc>
        <w:tc>
          <w:tcPr>
            <w:tcW w:w="1860" w:type="dxa"/>
            <w:vAlign w:val="bottom"/>
          </w:tcPr>
          <w:p>
            <w:pPr>
              <w:jc w:val="right"/>
              <w:ind w:right="467"/>
              <w:spacing w:after="0"/>
              <w:rPr>
                <w:sz w:val="20"/>
                <w:szCs w:val="20"/>
                <w:color w:val="auto"/>
              </w:rPr>
            </w:pPr>
            <w:r>
              <w:rPr>
                <w:rFonts w:ascii="Arial" w:cs="Arial" w:eastAsia="Arial" w:hAnsi="Arial"/>
                <w:sz w:val="15"/>
                <w:szCs w:val="15"/>
                <w:color w:val="1A475F"/>
              </w:rPr>
              <w:t>1,162,781</w:t>
            </w:r>
          </w:p>
        </w:tc>
        <w:tc>
          <w:tcPr>
            <w:tcW w:w="40" w:type="dxa"/>
            <w:vAlign w:val="bottom"/>
          </w:tcPr>
          <w:p>
            <w:pPr>
              <w:spacing w:after="0"/>
              <w:rPr>
                <w:sz w:val="15"/>
                <w:szCs w:val="15"/>
                <w:color w:val="auto"/>
              </w:rPr>
            </w:pPr>
          </w:p>
        </w:tc>
        <w:tc>
          <w:tcPr>
            <w:tcW w:w="1640" w:type="dxa"/>
            <w:vAlign w:val="bottom"/>
          </w:tcPr>
          <w:p>
            <w:pPr>
              <w:jc w:val="right"/>
              <w:ind w:right="447"/>
              <w:spacing w:after="0"/>
              <w:rPr>
                <w:sz w:val="20"/>
                <w:szCs w:val="20"/>
                <w:color w:val="auto"/>
              </w:rPr>
            </w:pPr>
            <w:r>
              <w:rPr>
                <w:rFonts w:ascii="Arial" w:cs="Arial" w:eastAsia="Arial" w:hAnsi="Arial"/>
                <w:sz w:val="15"/>
                <w:szCs w:val="15"/>
                <w:color w:val="1A475F"/>
              </w:rPr>
              <w:t>632,839</w:t>
            </w:r>
          </w:p>
        </w:tc>
        <w:tc>
          <w:tcPr>
            <w:tcW w:w="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1A475F"/>
              </w:rPr>
              <w:t>6,639</w:t>
            </w:r>
          </w:p>
        </w:tc>
        <w:tc>
          <w:tcPr>
            <w:tcW w:w="0" w:type="dxa"/>
            <w:vAlign w:val="bottom"/>
          </w:tcPr>
          <w:p>
            <w:pPr>
              <w:spacing w:after="0"/>
              <w:rPr>
                <w:sz w:val="1"/>
                <w:szCs w:val="1"/>
                <w:color w:val="auto"/>
              </w:rPr>
            </w:pPr>
          </w:p>
        </w:tc>
      </w:tr>
      <w:tr>
        <w:trPr>
          <w:trHeight w:val="174"/>
        </w:trPr>
        <w:tc>
          <w:tcPr>
            <w:tcW w:w="440" w:type="dxa"/>
            <w:vAlign w:val="bottom"/>
            <w:gridSpan w:val="2"/>
            <w:shd w:val="clear" w:color="auto" w:fill="CCEEFF"/>
          </w:tcPr>
          <w:p>
            <w:pPr>
              <w:spacing w:after="0"/>
              <w:rPr>
                <w:sz w:val="20"/>
                <w:szCs w:val="20"/>
                <w:color w:val="auto"/>
              </w:rPr>
            </w:pPr>
            <w:r>
              <w:rPr>
                <w:rFonts w:ascii="Arial" w:cs="Arial" w:eastAsia="Arial" w:hAnsi="Arial"/>
                <w:sz w:val="15"/>
                <w:szCs w:val="15"/>
                <w:color w:val="1A475F"/>
              </w:rPr>
              <w:t>2023</w:t>
            </w:r>
          </w:p>
        </w:tc>
        <w:tc>
          <w:tcPr>
            <w:tcW w:w="1700" w:type="dxa"/>
            <w:vAlign w:val="bottom"/>
            <w:shd w:val="clear" w:color="auto" w:fill="CCEEFF"/>
          </w:tcPr>
          <w:p>
            <w:pPr>
              <w:ind w:left="540"/>
              <w:spacing w:after="0"/>
              <w:rPr>
                <w:sz w:val="20"/>
                <w:szCs w:val="20"/>
                <w:color w:val="auto"/>
              </w:rPr>
            </w:pPr>
            <w:r>
              <w:rPr>
                <w:rFonts w:ascii="Arial" w:cs="Arial" w:eastAsia="Arial" w:hAnsi="Arial"/>
                <w:sz w:val="15"/>
                <w:szCs w:val="15"/>
                <w:color w:val="1A475F"/>
              </w:rPr>
              <w:t>4,927,814</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410"/>
              <w:spacing w:after="0"/>
              <w:rPr>
                <w:sz w:val="20"/>
                <w:szCs w:val="20"/>
                <w:color w:val="auto"/>
              </w:rPr>
            </w:pPr>
            <w:r>
              <w:rPr>
                <w:rFonts w:ascii="Arial" w:cs="Arial" w:eastAsia="Arial" w:hAnsi="Arial"/>
                <w:sz w:val="15"/>
                <w:szCs w:val="15"/>
                <w:color w:val="1A475F"/>
              </w:rPr>
              <w:t>(3,499,984)</w:t>
            </w: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410"/>
              <w:spacing w:after="0"/>
              <w:rPr>
                <w:sz w:val="20"/>
                <w:szCs w:val="20"/>
                <w:color w:val="auto"/>
              </w:rPr>
            </w:pPr>
            <w:r>
              <w:rPr>
                <w:rFonts w:ascii="Arial" w:cs="Arial" w:eastAsia="Arial" w:hAnsi="Arial"/>
                <w:sz w:val="15"/>
                <w:szCs w:val="15"/>
                <w:color w:val="1A475F"/>
              </w:rPr>
              <w:t>4,237,093</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1A475F"/>
              </w:rPr>
              <w:t>2,035,472</w:t>
            </w:r>
          </w:p>
        </w:tc>
        <w:tc>
          <w:tcPr>
            <w:tcW w:w="4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1A475F"/>
              </w:rPr>
              <w:t>410,928</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1A475F"/>
              </w:rPr>
              <w:t>8,111</w:t>
            </w:r>
          </w:p>
        </w:tc>
        <w:tc>
          <w:tcPr>
            <w:tcW w:w="0" w:type="dxa"/>
            <w:vAlign w:val="bottom"/>
          </w:tcPr>
          <w:p>
            <w:pPr>
              <w:spacing w:after="0"/>
              <w:rPr>
                <w:sz w:val="1"/>
                <w:szCs w:val="1"/>
                <w:color w:val="auto"/>
              </w:rPr>
            </w:pPr>
          </w:p>
        </w:tc>
      </w:tr>
      <w:tr>
        <w:trPr>
          <w:trHeight w:val="174"/>
        </w:trPr>
        <w:tc>
          <w:tcPr>
            <w:tcW w:w="440" w:type="dxa"/>
            <w:vAlign w:val="bottom"/>
            <w:gridSpan w:val="2"/>
          </w:tcPr>
          <w:p>
            <w:pPr>
              <w:spacing w:after="0"/>
              <w:rPr>
                <w:sz w:val="20"/>
                <w:szCs w:val="20"/>
                <w:color w:val="auto"/>
              </w:rPr>
            </w:pPr>
            <w:r>
              <w:rPr>
                <w:rFonts w:ascii="Arial" w:cs="Arial" w:eastAsia="Arial" w:hAnsi="Arial"/>
                <w:sz w:val="15"/>
                <w:szCs w:val="15"/>
                <w:color w:val="1A475F"/>
              </w:rPr>
              <w:t>2022</w:t>
            </w:r>
          </w:p>
        </w:tc>
        <w:tc>
          <w:tcPr>
            <w:tcW w:w="1700" w:type="dxa"/>
            <w:vAlign w:val="bottom"/>
          </w:tcPr>
          <w:p>
            <w:pPr>
              <w:ind w:left="540"/>
              <w:spacing w:after="0"/>
              <w:rPr>
                <w:sz w:val="20"/>
                <w:szCs w:val="20"/>
                <w:color w:val="auto"/>
              </w:rPr>
            </w:pPr>
            <w:r>
              <w:rPr>
                <w:rFonts w:ascii="Arial" w:cs="Arial" w:eastAsia="Arial" w:hAnsi="Arial"/>
                <w:sz w:val="15"/>
                <w:szCs w:val="15"/>
                <w:color w:val="1A475F"/>
              </w:rPr>
              <w:t>3,258,891</w:t>
            </w:r>
          </w:p>
        </w:tc>
        <w:tc>
          <w:tcPr>
            <w:tcW w:w="80" w:type="dxa"/>
            <w:vAlign w:val="bottom"/>
          </w:tcPr>
          <w:p>
            <w:pPr>
              <w:spacing w:after="0"/>
              <w:rPr>
                <w:sz w:val="15"/>
                <w:szCs w:val="15"/>
                <w:color w:val="auto"/>
              </w:rPr>
            </w:pPr>
          </w:p>
        </w:tc>
        <w:tc>
          <w:tcPr>
            <w:tcW w:w="1840" w:type="dxa"/>
            <w:vAlign w:val="bottom"/>
          </w:tcPr>
          <w:p>
            <w:pPr>
              <w:jc w:val="right"/>
              <w:ind w:right="410"/>
              <w:spacing w:after="0"/>
              <w:rPr>
                <w:sz w:val="20"/>
                <w:szCs w:val="20"/>
                <w:color w:val="auto"/>
              </w:rPr>
            </w:pPr>
            <w:r>
              <w:rPr>
                <w:rFonts w:ascii="Arial" w:cs="Arial" w:eastAsia="Arial" w:hAnsi="Arial"/>
                <w:sz w:val="15"/>
                <w:szCs w:val="15"/>
                <w:color w:val="1A475F"/>
              </w:rPr>
              <w:t>(2,300,203)</w:t>
            </w:r>
          </w:p>
        </w:tc>
        <w:tc>
          <w:tcPr>
            <w:tcW w:w="40" w:type="dxa"/>
            <w:vAlign w:val="bottom"/>
          </w:tcPr>
          <w:p>
            <w:pPr>
              <w:spacing w:after="0"/>
              <w:rPr>
                <w:sz w:val="15"/>
                <w:szCs w:val="15"/>
                <w:color w:val="auto"/>
              </w:rPr>
            </w:pPr>
          </w:p>
        </w:tc>
        <w:tc>
          <w:tcPr>
            <w:tcW w:w="1700" w:type="dxa"/>
            <w:vAlign w:val="bottom"/>
          </w:tcPr>
          <w:p>
            <w:pPr>
              <w:jc w:val="right"/>
              <w:ind w:right="410"/>
              <w:spacing w:after="0"/>
              <w:rPr>
                <w:sz w:val="20"/>
                <w:szCs w:val="20"/>
                <w:color w:val="auto"/>
              </w:rPr>
            </w:pPr>
            <w:r>
              <w:rPr>
                <w:rFonts w:ascii="Arial" w:cs="Arial" w:eastAsia="Arial" w:hAnsi="Arial"/>
                <w:sz w:val="15"/>
                <w:szCs w:val="15"/>
                <w:color w:val="1A475F"/>
              </w:rPr>
              <w:t>179,157</w:t>
            </w:r>
          </w:p>
        </w:tc>
        <w:tc>
          <w:tcPr>
            <w:tcW w:w="80" w:type="dxa"/>
            <w:vAlign w:val="bottom"/>
          </w:tcPr>
          <w:p>
            <w:pPr>
              <w:spacing w:after="0"/>
              <w:rPr>
                <w:sz w:val="15"/>
                <w:szCs w:val="15"/>
                <w:color w:val="auto"/>
              </w:rPr>
            </w:pPr>
          </w:p>
        </w:tc>
        <w:tc>
          <w:tcPr>
            <w:tcW w:w="1860" w:type="dxa"/>
            <w:vAlign w:val="bottom"/>
          </w:tcPr>
          <w:p>
            <w:pPr>
              <w:jc w:val="right"/>
              <w:ind w:right="407"/>
              <w:spacing w:after="0"/>
              <w:rPr>
                <w:sz w:val="20"/>
                <w:szCs w:val="20"/>
                <w:color w:val="auto"/>
              </w:rPr>
            </w:pPr>
            <w:r>
              <w:rPr>
                <w:rFonts w:ascii="Arial" w:cs="Arial" w:eastAsia="Arial" w:hAnsi="Arial"/>
                <w:sz w:val="15"/>
                <w:szCs w:val="15"/>
                <w:color w:val="1A475F"/>
              </w:rPr>
              <w:t>(4,458,298)</w:t>
            </w:r>
          </w:p>
        </w:tc>
        <w:tc>
          <w:tcPr>
            <w:tcW w:w="40" w:type="dxa"/>
            <w:vAlign w:val="bottom"/>
          </w:tcPr>
          <w:p>
            <w:pPr>
              <w:spacing w:after="0"/>
              <w:rPr>
                <w:sz w:val="15"/>
                <w:szCs w:val="15"/>
                <w:color w:val="auto"/>
              </w:rPr>
            </w:pPr>
          </w:p>
        </w:tc>
        <w:tc>
          <w:tcPr>
            <w:tcW w:w="1640" w:type="dxa"/>
            <w:vAlign w:val="bottom"/>
          </w:tcPr>
          <w:p>
            <w:pPr>
              <w:jc w:val="right"/>
              <w:ind w:right="447"/>
              <w:spacing w:after="0"/>
              <w:rPr>
                <w:sz w:val="20"/>
                <w:szCs w:val="20"/>
                <w:color w:val="auto"/>
              </w:rPr>
            </w:pPr>
            <w:r>
              <w:rPr>
                <w:rFonts w:ascii="Arial" w:cs="Arial" w:eastAsia="Arial" w:hAnsi="Arial"/>
                <w:sz w:val="15"/>
                <w:szCs w:val="15"/>
                <w:color w:val="1A475F"/>
              </w:rPr>
              <w:t>44,068</w:t>
            </w:r>
          </w:p>
        </w:tc>
        <w:tc>
          <w:tcPr>
            <w:tcW w:w="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1A475F"/>
              </w:rPr>
              <w:t>(3,276</w:t>
            </w:r>
          </w:p>
        </w:tc>
        <w:tc>
          <w:tcPr>
            <w:tcW w:w="0" w:type="dxa"/>
            <w:vAlign w:val="bottom"/>
          </w:tcPr>
          <w:p>
            <w:pPr>
              <w:spacing w:after="0"/>
              <w:rPr>
                <w:sz w:val="1"/>
                <w:szCs w:val="1"/>
                <w:color w:val="auto"/>
              </w:rPr>
            </w:pPr>
          </w:p>
        </w:tc>
      </w:tr>
      <w:tr>
        <w:trPr>
          <w:trHeight w:val="174"/>
        </w:trPr>
        <w:tc>
          <w:tcPr>
            <w:tcW w:w="440" w:type="dxa"/>
            <w:vAlign w:val="bottom"/>
            <w:gridSpan w:val="2"/>
            <w:shd w:val="clear" w:color="auto" w:fill="CCEEFF"/>
          </w:tcPr>
          <w:p>
            <w:pPr>
              <w:spacing w:after="0"/>
              <w:rPr>
                <w:sz w:val="20"/>
                <w:szCs w:val="20"/>
                <w:color w:val="auto"/>
              </w:rPr>
            </w:pPr>
            <w:r>
              <w:rPr>
                <w:rFonts w:ascii="Arial" w:cs="Arial" w:eastAsia="Arial" w:hAnsi="Arial"/>
                <w:sz w:val="15"/>
                <w:szCs w:val="15"/>
                <w:color w:val="1A475F"/>
              </w:rPr>
              <w:t>2021</w:t>
            </w:r>
          </w:p>
        </w:tc>
        <w:tc>
          <w:tcPr>
            <w:tcW w:w="1700" w:type="dxa"/>
            <w:vAlign w:val="bottom"/>
            <w:shd w:val="clear" w:color="auto" w:fill="CCEEFF"/>
          </w:tcPr>
          <w:p>
            <w:pPr>
              <w:ind w:left="540"/>
              <w:spacing w:after="0"/>
              <w:rPr>
                <w:sz w:val="20"/>
                <w:szCs w:val="20"/>
                <w:color w:val="auto"/>
              </w:rPr>
            </w:pPr>
            <w:r>
              <w:rPr>
                <w:rFonts w:ascii="Arial" w:cs="Arial" w:eastAsia="Arial" w:hAnsi="Arial"/>
                <w:sz w:val="15"/>
                <w:szCs w:val="15"/>
                <w:color w:val="1A475F"/>
              </w:rPr>
              <w:t>4,237,306</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410"/>
              <w:spacing w:after="0"/>
              <w:rPr>
                <w:sz w:val="20"/>
                <w:szCs w:val="20"/>
                <w:color w:val="auto"/>
              </w:rPr>
            </w:pPr>
            <w:r>
              <w:rPr>
                <w:rFonts w:ascii="Arial" w:cs="Arial" w:eastAsia="Arial" w:hAnsi="Arial"/>
                <w:sz w:val="15"/>
                <w:szCs w:val="15"/>
                <w:color w:val="1A475F"/>
              </w:rPr>
              <w:t>(3,009,591)</w:t>
            </w: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410"/>
              <w:spacing w:after="0"/>
              <w:rPr>
                <w:sz w:val="20"/>
                <w:szCs w:val="20"/>
                <w:color w:val="auto"/>
              </w:rPr>
            </w:pPr>
            <w:r>
              <w:rPr>
                <w:rFonts w:ascii="Arial" w:cs="Arial" w:eastAsia="Arial" w:hAnsi="Arial"/>
                <w:sz w:val="15"/>
                <w:szCs w:val="15"/>
                <w:color w:val="1A475F"/>
              </w:rPr>
              <w:t>1,736,085</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1A475F"/>
              </w:rPr>
              <w:t>(3,033,614)</w:t>
            </w:r>
          </w:p>
        </w:tc>
        <w:tc>
          <w:tcPr>
            <w:tcW w:w="4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1A475F"/>
              </w:rPr>
              <w:t>(422)</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1A475F"/>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73660</wp:posOffset>
            </wp:positionV>
            <wp:extent cx="65405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4" w:lineRule="exact"/>
        <w:rPr>
          <w:sz w:val="20"/>
          <w:szCs w:val="20"/>
          <w:color w:val="auto"/>
        </w:rPr>
      </w:pPr>
    </w:p>
    <w:p>
      <w:pPr>
        <w:ind w:left="1280" w:hanging="379"/>
        <w:spacing w:after="0"/>
        <w:tabs>
          <w:tab w:leader="none" w:pos="1280" w:val="left"/>
        </w:tabs>
        <w:numPr>
          <w:ilvl w:val="0"/>
          <w:numId w:val="75"/>
        </w:numPr>
        <w:rPr>
          <w:rFonts w:ascii="Arial" w:cs="Arial" w:eastAsia="Arial" w:hAnsi="Arial"/>
          <w:sz w:val="12"/>
          <w:szCs w:val="12"/>
          <w:color w:val="1A475F"/>
        </w:rPr>
      </w:pPr>
      <w:r>
        <w:rPr>
          <w:rFonts w:ascii="Arial" w:cs="Arial" w:eastAsia="Arial" w:hAnsi="Arial"/>
          <w:sz w:val="12"/>
          <w:szCs w:val="12"/>
          <w:color w:val="1A475F"/>
        </w:rPr>
        <w:t>Reflects the total compensation reported for our PEO, Mr. Kramer, in the “Summary Compensation Table” for each of the years presented.</w:t>
      </w:r>
    </w:p>
    <w:p>
      <w:pPr>
        <w:spacing w:after="0" w:line="12" w:lineRule="exact"/>
        <w:rPr>
          <w:rFonts w:ascii="Arial" w:cs="Arial" w:eastAsia="Arial" w:hAnsi="Arial"/>
          <w:sz w:val="12"/>
          <w:szCs w:val="12"/>
          <w:color w:val="1A475F"/>
        </w:rPr>
      </w:pPr>
    </w:p>
    <w:p>
      <w:pPr>
        <w:ind w:left="1280" w:right="1040" w:hanging="379"/>
        <w:spacing w:after="0" w:line="241" w:lineRule="auto"/>
        <w:tabs>
          <w:tab w:leader="none" w:pos="1280" w:val="left"/>
        </w:tabs>
        <w:numPr>
          <w:ilvl w:val="0"/>
          <w:numId w:val="75"/>
        </w:numPr>
        <w:rPr>
          <w:rFonts w:ascii="Arial" w:cs="Arial" w:eastAsia="Arial" w:hAnsi="Arial"/>
          <w:sz w:val="12"/>
          <w:szCs w:val="12"/>
          <w:color w:val="1A475F"/>
        </w:rPr>
      </w:pPr>
      <w:r>
        <w:rPr>
          <w:rFonts w:ascii="Arial" w:cs="Arial" w:eastAsia="Arial" w:hAnsi="Arial"/>
          <w:sz w:val="12"/>
          <w:szCs w:val="12"/>
          <w:color w:val="1A475F"/>
        </w:rPr>
        <w:t>Represents the grant date fair value of the equity awards to our PEO as reported in the “Stock Awards” and “Option Awards” columns in the “Summary Compensation Table” for each of the years presented.</w:t>
      </w:r>
    </w:p>
    <w:p>
      <w:pPr>
        <w:ind w:left="1280" w:right="1160" w:hanging="379"/>
        <w:spacing w:after="0" w:line="246" w:lineRule="auto"/>
        <w:tabs>
          <w:tab w:leader="none" w:pos="1280" w:val="left"/>
        </w:tabs>
        <w:numPr>
          <w:ilvl w:val="0"/>
          <w:numId w:val="75"/>
        </w:numPr>
        <w:rPr>
          <w:rFonts w:ascii="Arial" w:cs="Arial" w:eastAsia="Arial" w:hAnsi="Arial"/>
          <w:sz w:val="12"/>
          <w:szCs w:val="12"/>
          <w:color w:val="1A475F"/>
        </w:rPr>
      </w:pPr>
      <w:r>
        <w:rPr>
          <w:rFonts w:ascii="Arial" w:cs="Arial" w:eastAsia="Arial" w:hAnsi="Arial"/>
          <w:sz w:val="12"/>
          <w:szCs w:val="12"/>
          <w:color w:val="1A475F"/>
        </w:rPr>
        <w:t>Equity values are calculated in accordance with FASB ASC Topic 718. For 2022 and 2021, the amounts included related to purchased restricted stock awards represent the grant date fair value or measurement date fair value as of the end of the covered fiscal year, as applicable, of all purchased restricted stock awards granted less the 50% purchase price paid by Mr. Kramer for such awards. There were no purchased restricted stock awards granted in 2025, 2024 or 2023. The following amounts were paid in cash on the grant date by Mr. Kramer upon each award of purchased restricted stock and are excluded from the respective columns consistent with the determination of fair value in accordance with FASB ASC Topic 718:</w:t>
      </w:r>
    </w:p>
    <w:p>
      <w:pPr>
        <w:spacing w:after="0" w:line="176" w:lineRule="exact"/>
        <w:rPr>
          <w:sz w:val="20"/>
          <w:szCs w:val="20"/>
          <w:color w:val="auto"/>
        </w:rPr>
      </w:pPr>
    </w:p>
    <w:tbl>
      <w:tblPr>
        <w:tblLayout w:type="fixed"/>
        <w:tblInd w:w="2420" w:type="dxa"/>
        <w:tblCellMar>
          <w:top w:w="0" w:type="dxa"/>
          <w:left w:w="0" w:type="dxa"/>
          <w:bottom w:w="0" w:type="dxa"/>
          <w:right w:w="0" w:type="dxa"/>
        </w:tblCellMar>
      </w:tblPr>
      <w:tr>
        <w:trPr>
          <w:trHeight w:val="131"/>
        </w:trPr>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1A475F"/>
              </w:rPr>
              <w:t>Year</w:t>
            </w:r>
          </w:p>
        </w:tc>
        <w:tc>
          <w:tcPr>
            <w:tcW w:w="2380" w:type="dxa"/>
            <w:vAlign w:val="bottom"/>
            <w:gridSpan w:val="2"/>
          </w:tcPr>
          <w:p>
            <w:pPr>
              <w:ind w:left="760"/>
              <w:spacing w:after="0"/>
              <w:rPr>
                <w:sz w:val="20"/>
                <w:szCs w:val="20"/>
                <w:color w:val="auto"/>
              </w:rPr>
            </w:pPr>
            <w:r>
              <w:rPr>
                <w:rFonts w:ascii="Arial" w:cs="Arial" w:eastAsia="Arial" w:hAnsi="Arial"/>
                <w:sz w:val="11"/>
                <w:szCs w:val="11"/>
                <w:b w:val="1"/>
                <w:bCs w:val="1"/>
                <w:color w:val="1A475F"/>
                <w:w w:val="97"/>
              </w:rPr>
              <w:t>Purchase Price Paid by PEO ($)</w:t>
            </w:r>
          </w:p>
        </w:tc>
        <w:tc>
          <w:tcPr>
            <w:tcW w:w="3000" w:type="dxa"/>
            <w:vAlign w:val="bottom"/>
            <w:gridSpan w:val="2"/>
          </w:tcPr>
          <w:p>
            <w:pPr>
              <w:ind w:left="1460"/>
              <w:spacing w:after="0"/>
              <w:rPr>
                <w:sz w:val="20"/>
                <w:szCs w:val="20"/>
                <w:color w:val="auto"/>
              </w:rPr>
            </w:pPr>
            <w:r>
              <w:rPr>
                <w:rFonts w:ascii="Arial" w:cs="Arial" w:eastAsia="Arial" w:hAnsi="Arial"/>
                <w:sz w:val="11"/>
                <w:szCs w:val="11"/>
                <w:b w:val="1"/>
                <w:bCs w:val="1"/>
                <w:color w:val="1A475F"/>
                <w:w w:val="97"/>
              </w:rPr>
              <w:t>Shares of Restricted Stock (#)</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99"/>
        </w:trPr>
        <w:tc>
          <w:tcPr>
            <w:tcW w:w="1040" w:type="dxa"/>
            <w:vAlign w:val="bottom"/>
            <w:gridSpan w:val="3"/>
            <w:shd w:val="clear" w:color="auto" w:fill="CCEEFF"/>
          </w:tcPr>
          <w:p>
            <w:pPr>
              <w:ind w:left="60"/>
              <w:spacing w:after="0" w:line="99" w:lineRule="exact"/>
              <w:rPr>
                <w:sz w:val="20"/>
                <w:szCs w:val="20"/>
                <w:color w:val="auto"/>
              </w:rPr>
            </w:pPr>
            <w:r>
              <w:rPr>
                <w:rFonts w:ascii="Arial" w:cs="Arial" w:eastAsia="Arial" w:hAnsi="Arial"/>
                <w:sz w:val="11"/>
                <w:szCs w:val="11"/>
                <w:color w:val="1A475F"/>
              </w:rPr>
              <w:t>2025</w:t>
            </w:r>
          </w:p>
        </w:tc>
        <w:tc>
          <w:tcPr>
            <w:tcW w:w="760" w:type="dxa"/>
            <w:vAlign w:val="bottom"/>
            <w:shd w:val="clear" w:color="auto" w:fill="CCEEFF"/>
          </w:tcPr>
          <w:p>
            <w:pPr>
              <w:spacing w:after="0"/>
              <w:rPr>
                <w:sz w:val="8"/>
                <w:szCs w:val="8"/>
                <w:color w:val="auto"/>
              </w:rPr>
            </w:pPr>
          </w:p>
        </w:tc>
        <w:tc>
          <w:tcPr>
            <w:tcW w:w="1620" w:type="dxa"/>
            <w:vAlign w:val="bottom"/>
            <w:shd w:val="clear" w:color="auto" w:fill="CCEEFF"/>
          </w:tcPr>
          <w:p>
            <w:pPr>
              <w:jc w:val="center"/>
              <w:spacing w:after="0" w:line="99" w:lineRule="exact"/>
              <w:rPr>
                <w:sz w:val="20"/>
                <w:szCs w:val="20"/>
                <w:color w:val="auto"/>
              </w:rPr>
            </w:pPr>
            <w:r>
              <w:rPr>
                <w:rFonts w:ascii="Arial" w:cs="Arial" w:eastAsia="Arial" w:hAnsi="Arial"/>
                <w:sz w:val="11"/>
                <w:szCs w:val="11"/>
                <w:color w:val="1A475F"/>
              </w:rPr>
              <w:t>—</w:t>
            </w:r>
          </w:p>
        </w:tc>
        <w:tc>
          <w:tcPr>
            <w:tcW w:w="1460" w:type="dxa"/>
            <w:vAlign w:val="bottom"/>
            <w:shd w:val="clear" w:color="auto" w:fill="CCEEFF"/>
          </w:tcPr>
          <w:p>
            <w:pPr>
              <w:spacing w:after="0"/>
              <w:rPr>
                <w:sz w:val="8"/>
                <w:szCs w:val="8"/>
                <w:color w:val="auto"/>
              </w:rPr>
            </w:pPr>
          </w:p>
        </w:tc>
        <w:tc>
          <w:tcPr>
            <w:tcW w:w="1540" w:type="dxa"/>
            <w:vAlign w:val="bottom"/>
            <w:shd w:val="clear" w:color="auto" w:fill="CCEEFF"/>
          </w:tcPr>
          <w:p>
            <w:pPr>
              <w:jc w:val="center"/>
              <w:spacing w:after="0" w:line="99" w:lineRule="exact"/>
              <w:rPr>
                <w:sz w:val="20"/>
                <w:szCs w:val="20"/>
                <w:color w:val="auto"/>
              </w:rPr>
            </w:pPr>
            <w:r>
              <w:rPr>
                <w:rFonts w:ascii="Arial" w:cs="Arial" w:eastAsia="Arial" w:hAnsi="Arial"/>
                <w:sz w:val="11"/>
                <w:szCs w:val="11"/>
                <w:color w:val="1A475F"/>
              </w:rPr>
              <w:t>—</w:t>
            </w:r>
          </w:p>
        </w:tc>
      </w:tr>
      <w:tr>
        <w:trPr>
          <w:trHeight w:val="116"/>
        </w:trPr>
        <w:tc>
          <w:tcPr>
            <w:tcW w:w="1040" w:type="dxa"/>
            <w:vAlign w:val="bottom"/>
            <w:gridSpan w:val="3"/>
          </w:tcPr>
          <w:p>
            <w:pPr>
              <w:ind w:left="60"/>
              <w:spacing w:after="0" w:line="116" w:lineRule="exact"/>
              <w:rPr>
                <w:sz w:val="20"/>
                <w:szCs w:val="20"/>
                <w:color w:val="auto"/>
              </w:rPr>
            </w:pPr>
            <w:r>
              <w:rPr>
                <w:rFonts w:ascii="Arial" w:cs="Arial" w:eastAsia="Arial" w:hAnsi="Arial"/>
                <w:sz w:val="11"/>
                <w:szCs w:val="11"/>
                <w:color w:val="1A475F"/>
              </w:rPr>
              <w:t>2024</w:t>
            </w:r>
          </w:p>
        </w:tc>
        <w:tc>
          <w:tcPr>
            <w:tcW w:w="760" w:type="dxa"/>
            <w:vAlign w:val="bottom"/>
          </w:tcPr>
          <w:p>
            <w:pPr>
              <w:spacing w:after="0"/>
              <w:rPr>
                <w:sz w:val="10"/>
                <w:szCs w:val="10"/>
                <w:color w:val="auto"/>
              </w:rPr>
            </w:pPr>
          </w:p>
        </w:tc>
        <w:tc>
          <w:tcPr>
            <w:tcW w:w="16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c>
          <w:tcPr>
            <w:tcW w:w="1460" w:type="dxa"/>
            <w:vAlign w:val="bottom"/>
          </w:tcPr>
          <w:p>
            <w:pPr>
              <w:spacing w:after="0"/>
              <w:rPr>
                <w:sz w:val="10"/>
                <w:szCs w:val="10"/>
                <w:color w:val="auto"/>
              </w:rPr>
            </w:pPr>
          </w:p>
        </w:tc>
        <w:tc>
          <w:tcPr>
            <w:tcW w:w="154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r>
      <w:tr>
        <w:trPr>
          <w:trHeight w:val="116"/>
        </w:trPr>
        <w:tc>
          <w:tcPr>
            <w:tcW w:w="1040" w:type="dxa"/>
            <w:vAlign w:val="bottom"/>
            <w:gridSpan w:val="3"/>
            <w:shd w:val="clear" w:color="auto" w:fill="CCEEFF"/>
          </w:tcPr>
          <w:p>
            <w:pPr>
              <w:ind w:left="60"/>
              <w:spacing w:after="0" w:line="116" w:lineRule="exact"/>
              <w:rPr>
                <w:sz w:val="20"/>
                <w:szCs w:val="20"/>
                <w:color w:val="auto"/>
              </w:rPr>
            </w:pPr>
            <w:r>
              <w:rPr>
                <w:rFonts w:ascii="Arial" w:cs="Arial" w:eastAsia="Arial" w:hAnsi="Arial"/>
                <w:sz w:val="11"/>
                <w:szCs w:val="11"/>
                <w:color w:val="1A475F"/>
              </w:rPr>
              <w:t>2023</w:t>
            </w:r>
          </w:p>
        </w:tc>
        <w:tc>
          <w:tcPr>
            <w:tcW w:w="760" w:type="dxa"/>
            <w:vAlign w:val="bottom"/>
            <w:shd w:val="clear" w:color="auto" w:fill="CCEEFF"/>
          </w:tcPr>
          <w:p>
            <w:pPr>
              <w:spacing w:after="0"/>
              <w:rPr>
                <w:sz w:val="10"/>
                <w:szCs w:val="10"/>
                <w:color w:val="auto"/>
              </w:rPr>
            </w:pPr>
          </w:p>
        </w:tc>
        <w:tc>
          <w:tcPr>
            <w:tcW w:w="16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c>
          <w:tcPr>
            <w:tcW w:w="1460" w:type="dxa"/>
            <w:vAlign w:val="bottom"/>
            <w:shd w:val="clear" w:color="auto" w:fill="CCEEFF"/>
          </w:tcPr>
          <w:p>
            <w:pPr>
              <w:spacing w:after="0"/>
              <w:rPr>
                <w:sz w:val="10"/>
                <w:szCs w:val="10"/>
                <w:color w:val="auto"/>
              </w:rPr>
            </w:pPr>
          </w:p>
        </w:tc>
        <w:tc>
          <w:tcPr>
            <w:tcW w:w="1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r>
      <w:tr>
        <w:trPr>
          <w:trHeight w:val="116"/>
        </w:trPr>
        <w:tc>
          <w:tcPr>
            <w:tcW w:w="1040" w:type="dxa"/>
            <w:vAlign w:val="bottom"/>
            <w:gridSpan w:val="3"/>
          </w:tcPr>
          <w:p>
            <w:pPr>
              <w:ind w:left="60"/>
              <w:spacing w:after="0" w:line="116" w:lineRule="exact"/>
              <w:rPr>
                <w:sz w:val="20"/>
                <w:szCs w:val="20"/>
                <w:color w:val="auto"/>
              </w:rPr>
            </w:pPr>
            <w:r>
              <w:rPr>
                <w:rFonts w:ascii="Arial" w:cs="Arial" w:eastAsia="Arial" w:hAnsi="Arial"/>
                <w:sz w:val="11"/>
                <w:szCs w:val="11"/>
                <w:color w:val="1A475F"/>
              </w:rPr>
              <w:t>2022</w:t>
            </w:r>
          </w:p>
        </w:tc>
        <w:tc>
          <w:tcPr>
            <w:tcW w:w="2380" w:type="dxa"/>
            <w:vAlign w:val="bottom"/>
            <w:gridSpan w:val="2"/>
          </w:tcPr>
          <w:p>
            <w:pPr>
              <w:jc w:val="center"/>
              <w:ind w:left="686"/>
              <w:spacing w:after="0" w:line="116" w:lineRule="exact"/>
              <w:rPr>
                <w:sz w:val="20"/>
                <w:szCs w:val="20"/>
                <w:color w:val="auto"/>
              </w:rPr>
            </w:pPr>
            <w:r>
              <w:rPr>
                <w:rFonts w:ascii="Arial" w:cs="Arial" w:eastAsia="Arial" w:hAnsi="Arial"/>
                <w:sz w:val="11"/>
                <w:szCs w:val="11"/>
                <w:color w:val="1A475F"/>
                <w:w w:val="97"/>
              </w:rPr>
              <w:t>1,210,814</w:t>
            </w:r>
          </w:p>
        </w:tc>
        <w:tc>
          <w:tcPr>
            <w:tcW w:w="3000" w:type="dxa"/>
            <w:vAlign w:val="bottom"/>
            <w:gridSpan w:val="2"/>
          </w:tcPr>
          <w:p>
            <w:pPr>
              <w:jc w:val="center"/>
              <w:ind w:left="1386"/>
              <w:spacing w:after="0" w:line="116" w:lineRule="exact"/>
              <w:rPr>
                <w:sz w:val="20"/>
                <w:szCs w:val="20"/>
                <w:color w:val="auto"/>
              </w:rPr>
            </w:pPr>
            <w:r>
              <w:rPr>
                <w:rFonts w:ascii="Arial" w:cs="Arial" w:eastAsia="Arial" w:hAnsi="Arial"/>
                <w:sz w:val="11"/>
                <w:szCs w:val="11"/>
                <w:color w:val="1A475F"/>
                <w:w w:val="94"/>
              </w:rPr>
              <w:t>18,800</w:t>
            </w:r>
          </w:p>
        </w:tc>
      </w:tr>
      <w:tr>
        <w:trPr>
          <w:trHeight w:val="116"/>
        </w:trPr>
        <w:tc>
          <w:tcPr>
            <w:tcW w:w="1040" w:type="dxa"/>
            <w:vAlign w:val="bottom"/>
            <w:gridSpan w:val="3"/>
            <w:shd w:val="clear" w:color="auto" w:fill="CCEEFF"/>
          </w:tcPr>
          <w:p>
            <w:pPr>
              <w:ind w:left="60"/>
              <w:spacing w:after="0" w:line="116" w:lineRule="exact"/>
              <w:rPr>
                <w:sz w:val="20"/>
                <w:szCs w:val="20"/>
                <w:color w:val="auto"/>
              </w:rPr>
            </w:pPr>
            <w:r>
              <w:rPr>
                <w:rFonts w:ascii="Arial" w:cs="Arial" w:eastAsia="Arial" w:hAnsi="Arial"/>
                <w:sz w:val="11"/>
                <w:szCs w:val="11"/>
                <w:color w:val="1A475F"/>
              </w:rPr>
              <w:t>2021</w:t>
            </w:r>
          </w:p>
        </w:tc>
        <w:tc>
          <w:tcPr>
            <w:tcW w:w="2380" w:type="dxa"/>
            <w:vAlign w:val="bottom"/>
            <w:gridSpan w:val="2"/>
            <w:shd w:val="clear" w:color="auto" w:fill="CCEEFF"/>
          </w:tcPr>
          <w:p>
            <w:pPr>
              <w:jc w:val="center"/>
              <w:ind w:left="686"/>
              <w:spacing w:after="0" w:line="116" w:lineRule="exact"/>
              <w:rPr>
                <w:sz w:val="20"/>
                <w:szCs w:val="20"/>
                <w:color w:val="auto"/>
              </w:rPr>
            </w:pPr>
            <w:r>
              <w:rPr>
                <w:rFonts w:ascii="Arial" w:cs="Arial" w:eastAsia="Arial" w:hAnsi="Arial"/>
                <w:sz w:val="11"/>
                <w:szCs w:val="11"/>
                <w:color w:val="1A475F"/>
                <w:w w:val="97"/>
              </w:rPr>
              <w:t>3,009,591</w:t>
            </w:r>
          </w:p>
        </w:tc>
        <w:tc>
          <w:tcPr>
            <w:tcW w:w="3000" w:type="dxa"/>
            <w:vAlign w:val="bottom"/>
            <w:gridSpan w:val="2"/>
            <w:shd w:val="clear" w:color="auto" w:fill="CCEEFF"/>
          </w:tcPr>
          <w:p>
            <w:pPr>
              <w:jc w:val="center"/>
              <w:ind w:left="1386"/>
              <w:spacing w:after="0" w:line="116" w:lineRule="exact"/>
              <w:rPr>
                <w:sz w:val="20"/>
                <w:szCs w:val="20"/>
                <w:color w:val="auto"/>
              </w:rPr>
            </w:pPr>
            <w:r>
              <w:rPr>
                <w:rFonts w:ascii="Arial" w:cs="Arial" w:eastAsia="Arial" w:hAnsi="Arial"/>
                <w:sz w:val="11"/>
                <w:szCs w:val="11"/>
                <w:color w:val="1A475F"/>
                <w:w w:val="94"/>
              </w:rPr>
              <w:t>37,700</w:t>
            </w:r>
          </w:p>
        </w:tc>
      </w:tr>
    </w:tbl>
    <w:p>
      <w:pPr>
        <w:spacing w:after="0" w:line="96" w:lineRule="exact"/>
        <w:rPr>
          <w:sz w:val="20"/>
          <w:szCs w:val="20"/>
          <w:color w:val="auto"/>
        </w:rPr>
      </w:pPr>
    </w:p>
    <w:p>
      <w:pPr>
        <w:ind w:left="1280" w:hanging="379"/>
        <w:spacing w:after="0"/>
        <w:tabs>
          <w:tab w:leader="none" w:pos="1280" w:val="left"/>
        </w:tabs>
        <w:numPr>
          <w:ilvl w:val="0"/>
          <w:numId w:val="76"/>
        </w:numPr>
        <w:rPr>
          <w:rFonts w:ascii="Arial" w:cs="Arial" w:eastAsia="Arial" w:hAnsi="Arial"/>
          <w:sz w:val="12"/>
          <w:szCs w:val="12"/>
          <w:color w:val="1A475F"/>
        </w:rPr>
      </w:pPr>
      <w:r>
        <w:rPr>
          <w:rFonts w:ascii="Arial" w:cs="Arial" w:eastAsia="Arial" w:hAnsi="Arial"/>
          <w:sz w:val="12"/>
          <w:szCs w:val="12"/>
          <w:color w:val="1A475F"/>
        </w:rPr>
        <w:t>Represents the year-end fair value for equity awards to our PEO. No awards vested in the year they were granted.</w:t>
      </w:r>
    </w:p>
    <w:p>
      <w:pPr>
        <w:spacing w:after="0" w:line="12" w:lineRule="exact"/>
        <w:rPr>
          <w:rFonts w:ascii="Arial" w:cs="Arial" w:eastAsia="Arial" w:hAnsi="Arial"/>
          <w:sz w:val="12"/>
          <w:szCs w:val="12"/>
          <w:color w:val="1A475F"/>
        </w:rPr>
      </w:pPr>
    </w:p>
    <w:p>
      <w:pPr>
        <w:ind w:left="1280" w:right="1000" w:hanging="379"/>
        <w:spacing w:after="0" w:line="246" w:lineRule="auto"/>
        <w:tabs>
          <w:tab w:leader="none" w:pos="1280" w:val="left"/>
        </w:tabs>
        <w:numPr>
          <w:ilvl w:val="0"/>
          <w:numId w:val="76"/>
        </w:numPr>
        <w:rPr>
          <w:rFonts w:ascii="Arial" w:cs="Arial" w:eastAsia="Arial" w:hAnsi="Arial"/>
          <w:sz w:val="12"/>
          <w:szCs w:val="12"/>
          <w:color w:val="1A475F"/>
        </w:rPr>
      </w:pPr>
      <w:r>
        <w:rPr>
          <w:rFonts w:ascii="Arial" w:cs="Arial" w:eastAsia="Arial" w:hAnsi="Arial"/>
          <w:sz w:val="12"/>
          <w:szCs w:val="12"/>
          <w:color w:val="1A475F"/>
        </w:rPr>
        <w:t>Stock option fair values are calculated based on the Black-Scholes option pricing model. The stock option fair values, purchased restricted stock fair values, the PRSU fair values and the RSU fair values are calculated using the stock price as of the applicable measurement date. The change in fair value is calculated using the fair value as of the prior year-end and as of each measurement date in the applicable covered year. The application of the underlying assumptions used in calculating the fair value of the stock option awards did not differ in any material respect from that used to calculate the grant date fair value of the awards as reported in the “Summary Compensation Table” for the applicable year.</w:t>
      </w:r>
    </w:p>
    <w:p>
      <w:pPr>
        <w:spacing w:after="0" w:line="61" w:lineRule="exact"/>
        <w:rPr>
          <w:sz w:val="20"/>
          <w:szCs w:val="20"/>
          <w:color w:val="auto"/>
        </w:rPr>
      </w:pPr>
    </w:p>
    <w:p>
      <w:pPr>
        <w:ind w:left="900" w:right="1060" w:firstLine="756"/>
        <w:spacing w:after="0" w:line="261" w:lineRule="auto"/>
        <w:rPr>
          <w:sz w:val="20"/>
          <w:szCs w:val="20"/>
          <w:color w:val="auto"/>
        </w:rPr>
      </w:pPr>
      <w:r>
        <w:rPr>
          <w:rFonts w:ascii="Arial" w:cs="Arial" w:eastAsia="Arial" w:hAnsi="Arial"/>
          <w:sz w:val="15"/>
          <w:szCs w:val="15"/>
          <w:color w:val="1A475F"/>
        </w:rPr>
        <w:t>To calculate the amounts in the “Average Compensation Actually Paid to Non-PEO NEOs” column in the table above, the following amounts were deducted from or added to (as applicable) the average of the “Total” compensation of our other NEOs as reported in the “Summary Compensation Table” for each applicable year:</w:t>
      </w:r>
    </w:p>
    <w:p>
      <w:pPr>
        <w:spacing w:after="0" w:line="173" w:lineRule="exact"/>
        <w:rPr>
          <w:sz w:val="20"/>
          <w:szCs w:val="20"/>
          <w:color w:val="auto"/>
        </w:rPr>
      </w:pPr>
    </w:p>
    <w:tbl>
      <w:tblPr>
        <w:tblLayout w:type="fixed"/>
        <w:tblInd w:w="900" w:type="dxa"/>
        <w:tblCellMar>
          <w:top w:w="0" w:type="dxa"/>
          <w:left w:w="0" w:type="dxa"/>
          <w:bottom w:w="0" w:type="dxa"/>
          <w:right w:w="0" w:type="dxa"/>
        </w:tblCellMar>
      </w:tblPr>
      <w:tr>
        <w:trPr>
          <w:trHeight w:val="139"/>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b w:val="1"/>
                <w:bCs w:val="1"/>
                <w:color w:val="1A475F"/>
              </w:rPr>
              <w:t>Average Summary</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1A475F"/>
              </w:rPr>
              <w:t>Average Change in</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b w:val="1"/>
                <w:bCs w:val="1"/>
                <w:color w:val="1A475F"/>
              </w:rPr>
              <w:t>Compensation</w:t>
            </w:r>
          </w:p>
        </w:tc>
        <w:tc>
          <w:tcPr>
            <w:tcW w:w="120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1A475F"/>
              </w:rPr>
              <w:t>Average Fair Value</w:t>
            </w:r>
          </w:p>
        </w:tc>
        <w:tc>
          <w:tcPr>
            <w:tcW w:w="19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rPr>
              <w:t>Average Change in</w:t>
            </w:r>
          </w:p>
        </w:tc>
        <w:tc>
          <w:tcPr>
            <w:tcW w:w="1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rPr>
              <w:t>Fair Value of</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rPr>
              <w:t>Average Summary</w:t>
            </w:r>
          </w:p>
        </w:tc>
        <w:tc>
          <w:tcPr>
            <w:tcW w:w="2000" w:type="dxa"/>
            <w:vAlign w:val="bottom"/>
          </w:tcPr>
          <w:p>
            <w:pPr>
              <w:jc w:val="center"/>
              <w:spacing w:after="0"/>
              <w:rPr>
                <w:sz w:val="20"/>
                <w:szCs w:val="20"/>
                <w:color w:val="auto"/>
              </w:rPr>
            </w:pPr>
            <w:r>
              <w:rPr>
                <w:rFonts w:ascii="Arial" w:cs="Arial" w:eastAsia="Arial" w:hAnsi="Arial"/>
                <w:sz w:val="12"/>
                <w:szCs w:val="12"/>
                <w:b w:val="1"/>
                <w:bCs w:val="1"/>
                <w:color w:val="1A475F"/>
              </w:rPr>
              <w:t>Table Reported</w:t>
            </w:r>
          </w:p>
        </w:tc>
        <w:tc>
          <w:tcPr>
            <w:tcW w:w="40" w:type="dxa"/>
            <w:vAlign w:val="bottom"/>
          </w:tcPr>
          <w:p>
            <w:pPr>
              <w:spacing w:after="0"/>
              <w:rPr>
                <w:sz w:val="12"/>
                <w:szCs w:val="12"/>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rPr>
              <w:t>of Equity</w:t>
            </w:r>
          </w:p>
        </w:tc>
        <w:tc>
          <w:tcPr>
            <w:tcW w:w="19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1A475F"/>
              </w:rPr>
              <w:t>Fair Value of</w:t>
            </w:r>
          </w:p>
        </w:tc>
        <w:tc>
          <w:tcPr>
            <w:tcW w:w="1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rPr>
              <w:t>Equity Awards</w:t>
            </w:r>
          </w:p>
        </w:tc>
        <w:tc>
          <w:tcPr>
            <w:tcW w:w="1100" w:type="dxa"/>
            <w:vAlign w:val="bottom"/>
          </w:tcPr>
          <w:p>
            <w:pPr>
              <w:jc w:val="right"/>
              <w:spacing w:after="0"/>
              <w:rPr>
                <w:sz w:val="20"/>
                <w:szCs w:val="20"/>
                <w:color w:val="auto"/>
              </w:rPr>
            </w:pPr>
            <w:r>
              <w:rPr>
                <w:rFonts w:ascii="Arial" w:cs="Arial" w:eastAsia="Arial" w:hAnsi="Arial"/>
                <w:sz w:val="12"/>
                <w:szCs w:val="12"/>
                <w:b w:val="1"/>
                <w:bCs w:val="1"/>
                <w:color w:val="1A475F"/>
              </w:rPr>
              <w:t>Averag</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1A475F"/>
              </w:rPr>
              <w:t>Compensation</w:t>
            </w:r>
          </w:p>
        </w:tc>
        <w:tc>
          <w:tcPr>
            <w:tcW w:w="2000" w:type="dxa"/>
            <w:vAlign w:val="bottom"/>
          </w:tcPr>
          <w:p>
            <w:pPr>
              <w:jc w:val="center"/>
              <w:spacing w:after="0"/>
              <w:rPr>
                <w:sz w:val="20"/>
                <w:szCs w:val="20"/>
                <w:color w:val="auto"/>
              </w:rPr>
            </w:pPr>
            <w:r>
              <w:rPr>
                <w:rFonts w:ascii="Arial" w:cs="Arial" w:eastAsia="Arial" w:hAnsi="Arial"/>
                <w:sz w:val="12"/>
                <w:szCs w:val="12"/>
                <w:b w:val="1"/>
                <w:bCs w:val="1"/>
                <w:color w:val="1A475F"/>
              </w:rPr>
              <w:t>Value of Equity</w:t>
            </w:r>
          </w:p>
        </w:tc>
        <w:tc>
          <w:tcPr>
            <w:tcW w:w="120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1A475F"/>
              </w:rPr>
              <w:t>Awards Granted in</w:t>
            </w:r>
          </w:p>
        </w:tc>
        <w:tc>
          <w:tcPr>
            <w:tcW w:w="19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rPr>
              <w:t>Unvested Equity</w:t>
            </w:r>
          </w:p>
        </w:tc>
        <w:tc>
          <w:tcPr>
            <w:tcW w:w="1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1A475F"/>
              </w:rPr>
              <w:t>from Prior Years</w:t>
            </w:r>
          </w:p>
        </w:tc>
        <w:tc>
          <w:tcPr>
            <w:tcW w:w="1100" w:type="dxa"/>
            <w:vAlign w:val="bottom"/>
          </w:tcPr>
          <w:p>
            <w:pPr>
              <w:jc w:val="right"/>
              <w:spacing w:after="0"/>
              <w:rPr>
                <w:sz w:val="20"/>
                <w:szCs w:val="20"/>
                <w:color w:val="auto"/>
              </w:rPr>
            </w:pPr>
            <w:r>
              <w:rPr>
                <w:rFonts w:ascii="Arial" w:cs="Arial" w:eastAsia="Arial" w:hAnsi="Arial"/>
                <w:sz w:val="12"/>
                <w:szCs w:val="12"/>
                <w:b w:val="1"/>
                <w:bCs w:val="1"/>
                <w:color w:val="1A475F"/>
              </w:rPr>
              <w:t>Compensa</w:t>
            </w:r>
          </w:p>
        </w:tc>
        <w:tc>
          <w:tcPr>
            <w:tcW w:w="0" w:type="dxa"/>
            <w:vAlign w:val="bottom"/>
          </w:tcPr>
          <w:p>
            <w:pPr>
              <w:spacing w:after="0"/>
              <w:rPr>
                <w:sz w:val="1"/>
                <w:szCs w:val="1"/>
                <w:color w:val="auto"/>
              </w:rPr>
            </w:pPr>
          </w:p>
        </w:tc>
      </w:tr>
      <w:tr>
        <w:trPr>
          <w:trHeight w:val="139"/>
        </w:trPr>
        <w:tc>
          <w:tcPr>
            <w:tcW w:w="280" w:type="dxa"/>
            <w:vAlign w:val="bottom"/>
            <w:vMerge w:val="restart"/>
          </w:tcPr>
          <w:p>
            <w:pPr>
              <w:spacing w:after="0"/>
              <w:rPr>
                <w:sz w:val="20"/>
                <w:szCs w:val="20"/>
                <w:color w:val="auto"/>
              </w:rPr>
            </w:pPr>
            <w:r>
              <w:rPr>
                <w:rFonts w:ascii="Arial" w:cs="Arial" w:eastAsia="Arial" w:hAnsi="Arial"/>
                <w:sz w:val="12"/>
                <w:szCs w:val="12"/>
                <w:b w:val="1"/>
                <w:bCs w:val="1"/>
                <w:color w:val="1A475F"/>
                <w:w w:val="99"/>
              </w:rPr>
              <w:t>Year</w:t>
            </w:r>
          </w:p>
        </w:tc>
        <w:tc>
          <w:tcPr>
            <w:tcW w:w="220" w:type="dxa"/>
            <w:vAlign w:val="bottom"/>
            <w:vMerge w:val="restart"/>
          </w:tcPr>
          <w:p>
            <w:pPr>
              <w:spacing w:after="0"/>
              <w:rPr>
                <w:sz w:val="12"/>
                <w:szCs w:val="12"/>
                <w:color w:val="auto"/>
              </w:rPr>
            </w:pPr>
          </w:p>
        </w:tc>
        <w:tc>
          <w:tcPr>
            <w:tcW w:w="19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1A475F"/>
                <w:w w:val="99"/>
              </w:rPr>
              <w:t>Table Total for</w:t>
            </w:r>
          </w:p>
        </w:tc>
        <w:tc>
          <w:tcPr>
            <w:tcW w:w="2000" w:type="dxa"/>
            <w:vAlign w:val="bottom"/>
          </w:tcPr>
          <w:p>
            <w:pPr>
              <w:jc w:val="center"/>
              <w:spacing w:after="0"/>
              <w:rPr>
                <w:sz w:val="20"/>
                <w:szCs w:val="20"/>
                <w:color w:val="auto"/>
              </w:rPr>
            </w:pPr>
            <w:r>
              <w:rPr>
                <w:rFonts w:ascii="Arial" w:cs="Arial" w:eastAsia="Arial" w:hAnsi="Arial"/>
                <w:sz w:val="12"/>
                <w:szCs w:val="12"/>
                <w:b w:val="1"/>
                <w:bCs w:val="1"/>
                <w:color w:val="1A475F"/>
              </w:rPr>
              <w:t>Awards for Non-PEO</w:t>
            </w:r>
          </w:p>
        </w:tc>
        <w:tc>
          <w:tcPr>
            <w:tcW w:w="40" w:type="dxa"/>
            <w:vAlign w:val="bottom"/>
          </w:tcPr>
          <w:p>
            <w:pPr>
              <w:spacing w:after="0"/>
              <w:rPr>
                <w:sz w:val="12"/>
                <w:szCs w:val="12"/>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1A475F"/>
              </w:rPr>
              <w:t>the Covered</w:t>
            </w:r>
          </w:p>
        </w:tc>
        <w:tc>
          <w:tcPr>
            <w:tcW w:w="19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1A475F"/>
              </w:rPr>
              <w:t>Awards Granted in</w:t>
            </w:r>
          </w:p>
        </w:tc>
        <w:tc>
          <w:tcPr>
            <w:tcW w:w="1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1A475F"/>
              </w:rPr>
              <w:t>that Vested in</w:t>
            </w:r>
          </w:p>
        </w:tc>
        <w:tc>
          <w:tcPr>
            <w:tcW w:w="1100" w:type="dxa"/>
            <w:vAlign w:val="bottom"/>
          </w:tcPr>
          <w:p>
            <w:pPr>
              <w:jc w:val="right"/>
              <w:spacing w:after="0"/>
              <w:rPr>
                <w:sz w:val="20"/>
                <w:szCs w:val="20"/>
                <w:color w:val="auto"/>
              </w:rPr>
            </w:pPr>
            <w:r>
              <w:rPr>
                <w:rFonts w:ascii="Arial" w:cs="Arial" w:eastAsia="Arial" w:hAnsi="Arial"/>
                <w:sz w:val="12"/>
                <w:szCs w:val="12"/>
                <w:b w:val="1"/>
                <w:bCs w:val="1"/>
                <w:color w:val="1A475F"/>
              </w:rPr>
              <w:t>Actually Pa</w:t>
            </w:r>
          </w:p>
        </w:tc>
        <w:tc>
          <w:tcPr>
            <w:tcW w:w="0" w:type="dxa"/>
            <w:vAlign w:val="bottom"/>
          </w:tcPr>
          <w:p>
            <w:pPr>
              <w:spacing w:after="0"/>
              <w:rPr>
                <w:sz w:val="1"/>
                <w:szCs w:val="1"/>
                <w:color w:val="auto"/>
              </w:rPr>
            </w:pPr>
          </w:p>
        </w:tc>
      </w:tr>
      <w:tr>
        <w:trPr>
          <w:trHeight w:val="155"/>
        </w:trPr>
        <w:tc>
          <w:tcPr>
            <w:tcW w:w="2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94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1A475F"/>
                <w:w w:val="99"/>
              </w:rPr>
              <w:t>Non-PEO NEOs ($)</w:t>
            </w:r>
            <w:r>
              <w:rPr>
                <w:rFonts w:ascii="Arial" w:cs="Arial" w:eastAsia="Arial" w:hAnsi="Arial"/>
                <w:sz w:val="15"/>
                <w:szCs w:val="15"/>
                <w:b w:val="1"/>
                <w:bCs w:val="1"/>
                <w:color w:val="1A475F"/>
                <w:w w:val="99"/>
                <w:vertAlign w:val="superscript"/>
              </w:rPr>
              <w:t>(1)</w:t>
            </w:r>
          </w:p>
        </w:tc>
        <w:tc>
          <w:tcPr>
            <w:tcW w:w="2000" w:type="dxa"/>
            <w:vAlign w:val="bottom"/>
          </w:tcPr>
          <w:p>
            <w:pPr>
              <w:jc w:val="center"/>
              <w:spacing w:after="0" w:line="136" w:lineRule="exact"/>
              <w:rPr>
                <w:sz w:val="20"/>
                <w:szCs w:val="20"/>
                <w:color w:val="auto"/>
              </w:rPr>
            </w:pPr>
            <w:r>
              <w:rPr>
                <w:rFonts w:ascii="Arial" w:cs="Arial" w:eastAsia="Arial" w:hAnsi="Arial"/>
                <w:sz w:val="12"/>
                <w:szCs w:val="12"/>
                <w:b w:val="1"/>
                <w:bCs w:val="1"/>
                <w:color w:val="1A475F"/>
                <w:w w:val="95"/>
              </w:rPr>
              <w:t>NEOs ($)</w:t>
            </w:r>
            <w:r>
              <w:rPr>
                <w:rFonts w:ascii="Arial" w:cs="Arial" w:eastAsia="Arial" w:hAnsi="Arial"/>
                <w:sz w:val="15"/>
                <w:szCs w:val="15"/>
                <w:b w:val="1"/>
                <w:bCs w:val="1"/>
                <w:color w:val="1A475F"/>
                <w:w w:val="95"/>
                <w:vertAlign w:val="superscript"/>
              </w:rPr>
              <w:t>(2)(3)</w:t>
            </w:r>
          </w:p>
        </w:tc>
        <w:tc>
          <w:tcPr>
            <w:tcW w:w="40" w:type="dxa"/>
            <w:vAlign w:val="bottom"/>
          </w:tcPr>
          <w:p>
            <w:pPr>
              <w:spacing w:after="0"/>
              <w:rPr>
                <w:sz w:val="13"/>
                <w:szCs w:val="13"/>
                <w:color w:val="auto"/>
              </w:rPr>
            </w:pPr>
          </w:p>
        </w:tc>
        <w:tc>
          <w:tcPr>
            <w:tcW w:w="1160" w:type="dxa"/>
            <w:vAlign w:val="bottom"/>
            <w:gridSpan w:val="2"/>
          </w:tcPr>
          <w:p>
            <w:pPr>
              <w:jc w:val="center"/>
              <w:ind w:right="60"/>
              <w:spacing w:after="0" w:line="136" w:lineRule="exact"/>
              <w:rPr>
                <w:sz w:val="20"/>
                <w:szCs w:val="20"/>
                <w:color w:val="auto"/>
              </w:rPr>
            </w:pPr>
            <w:r>
              <w:rPr>
                <w:rFonts w:ascii="Arial" w:cs="Arial" w:eastAsia="Arial" w:hAnsi="Arial"/>
                <w:sz w:val="15"/>
                <w:szCs w:val="15"/>
                <w:b w:val="1"/>
                <w:bCs w:val="1"/>
                <w:color w:val="1A475F"/>
                <w:vertAlign w:val="subscript"/>
              </w:rPr>
              <w:t>Year ($)</w:t>
            </w:r>
            <w:r>
              <w:rPr>
                <w:rFonts w:ascii="Arial" w:cs="Arial" w:eastAsia="Arial" w:hAnsi="Arial"/>
                <w:sz w:val="6"/>
                <w:szCs w:val="6"/>
                <w:b w:val="1"/>
                <w:bCs w:val="1"/>
                <w:color w:val="1A475F"/>
              </w:rPr>
              <w:t>(3)(4)(5)</w:t>
            </w:r>
          </w:p>
        </w:tc>
        <w:tc>
          <w:tcPr>
            <w:tcW w:w="1940" w:type="dxa"/>
            <w:vAlign w:val="bottom"/>
            <w:gridSpan w:val="2"/>
          </w:tcPr>
          <w:p>
            <w:pPr>
              <w:jc w:val="center"/>
              <w:ind w:right="60"/>
              <w:spacing w:after="0" w:line="136" w:lineRule="exact"/>
              <w:rPr>
                <w:sz w:val="20"/>
                <w:szCs w:val="20"/>
                <w:color w:val="auto"/>
              </w:rPr>
            </w:pPr>
            <w:r>
              <w:rPr>
                <w:rFonts w:ascii="Arial" w:cs="Arial" w:eastAsia="Arial" w:hAnsi="Arial"/>
                <w:sz w:val="12"/>
                <w:szCs w:val="12"/>
                <w:b w:val="1"/>
                <w:bCs w:val="1"/>
                <w:color w:val="1A475F"/>
                <w:w w:val="97"/>
              </w:rPr>
              <w:t>Prior Years ($)</w:t>
            </w:r>
            <w:r>
              <w:rPr>
                <w:rFonts w:ascii="Arial" w:cs="Arial" w:eastAsia="Arial" w:hAnsi="Arial"/>
                <w:sz w:val="15"/>
                <w:szCs w:val="15"/>
                <w:b w:val="1"/>
                <w:bCs w:val="1"/>
                <w:color w:val="1A475F"/>
                <w:w w:val="97"/>
                <w:vertAlign w:val="superscript"/>
              </w:rPr>
              <w:t>(5)</w:t>
            </w:r>
          </w:p>
        </w:tc>
        <w:tc>
          <w:tcPr>
            <w:tcW w:w="1760" w:type="dxa"/>
            <w:vAlign w:val="bottom"/>
            <w:gridSpan w:val="2"/>
          </w:tcPr>
          <w:p>
            <w:pPr>
              <w:jc w:val="center"/>
              <w:ind w:right="60"/>
              <w:spacing w:after="0" w:line="136" w:lineRule="exact"/>
              <w:rPr>
                <w:sz w:val="20"/>
                <w:szCs w:val="20"/>
                <w:color w:val="auto"/>
              </w:rPr>
            </w:pPr>
            <w:r>
              <w:rPr>
                <w:rFonts w:ascii="Arial" w:cs="Arial" w:eastAsia="Arial" w:hAnsi="Arial"/>
                <w:sz w:val="12"/>
                <w:szCs w:val="12"/>
                <w:b w:val="1"/>
                <w:bCs w:val="1"/>
                <w:color w:val="1A475F"/>
                <w:w w:val="98"/>
              </w:rPr>
              <w:t>Covered Year ($)</w:t>
            </w:r>
            <w:r>
              <w:rPr>
                <w:rFonts w:ascii="Arial" w:cs="Arial" w:eastAsia="Arial" w:hAnsi="Arial"/>
                <w:sz w:val="15"/>
                <w:szCs w:val="15"/>
                <w:b w:val="1"/>
                <w:bCs w:val="1"/>
                <w:color w:val="1A475F"/>
                <w:w w:val="98"/>
                <w:vertAlign w:val="superscript"/>
              </w:rPr>
              <w:t>(5)</w:t>
            </w:r>
          </w:p>
        </w:tc>
        <w:tc>
          <w:tcPr>
            <w:tcW w:w="1100" w:type="dxa"/>
            <w:vAlign w:val="bottom"/>
          </w:tcPr>
          <w:p>
            <w:pPr>
              <w:jc w:val="right"/>
              <w:spacing w:after="0" w:line="136" w:lineRule="exact"/>
              <w:rPr>
                <w:sz w:val="20"/>
                <w:szCs w:val="20"/>
                <w:color w:val="auto"/>
              </w:rPr>
            </w:pPr>
            <w:r>
              <w:rPr>
                <w:rFonts w:ascii="Arial" w:cs="Arial" w:eastAsia="Arial" w:hAnsi="Arial"/>
                <w:sz w:val="12"/>
                <w:szCs w:val="12"/>
                <w:b w:val="1"/>
                <w:bCs w:val="1"/>
                <w:color w:val="1A475F"/>
              </w:rPr>
              <w:t>Non-PEO NE</w:t>
            </w:r>
          </w:p>
        </w:tc>
        <w:tc>
          <w:tcPr>
            <w:tcW w:w="0" w:type="dxa"/>
            <w:vAlign w:val="bottom"/>
          </w:tcPr>
          <w:p>
            <w:pPr>
              <w:spacing w:after="0"/>
              <w:rPr>
                <w:sz w:val="1"/>
                <w:szCs w:val="1"/>
                <w:color w:val="auto"/>
              </w:rPr>
            </w:pPr>
          </w:p>
        </w:tc>
      </w:tr>
      <w:tr>
        <w:trPr>
          <w:trHeight w:val="157"/>
        </w:trPr>
        <w:tc>
          <w:tcPr>
            <w:tcW w:w="50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5"/>
                <w:szCs w:val="15"/>
                <w:color w:val="1A475F"/>
              </w:rPr>
              <w:t>2025</w:t>
            </w:r>
            <w:r>
              <w:rPr>
                <w:rFonts w:ascii="Arial" w:cs="Arial" w:eastAsia="Arial" w:hAnsi="Arial"/>
                <w:sz w:val="9"/>
                <w:szCs w:val="9"/>
                <w:color w:val="1A475F"/>
              </w:rPr>
              <w:t>(*)</w:t>
            </w:r>
          </w:p>
        </w:tc>
        <w:tc>
          <w:tcPr>
            <w:tcW w:w="1900" w:type="dxa"/>
            <w:vAlign w:val="bottom"/>
            <w:tcBorders>
              <w:top w:val="single" w:sz="8" w:color="auto"/>
            </w:tcBorders>
            <w:shd w:val="clear" w:color="auto" w:fill="CCEEFF"/>
          </w:tcPr>
          <w:p>
            <w:pPr>
              <w:jc w:val="right"/>
              <w:ind w:right="510"/>
              <w:spacing w:after="0" w:line="157" w:lineRule="exact"/>
              <w:rPr>
                <w:sz w:val="20"/>
                <w:szCs w:val="20"/>
                <w:color w:val="auto"/>
              </w:rPr>
            </w:pPr>
            <w:r>
              <w:rPr>
                <w:rFonts w:ascii="Arial" w:cs="Arial" w:eastAsia="Arial" w:hAnsi="Arial"/>
                <w:sz w:val="15"/>
                <w:szCs w:val="15"/>
                <w:color w:val="1A475F"/>
              </w:rPr>
              <w:t>1,906,755</w:t>
            </w:r>
          </w:p>
        </w:tc>
        <w:tc>
          <w:tcPr>
            <w:tcW w:w="4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auto"/>
            </w:tcBorders>
            <w:shd w:val="clear" w:color="auto" w:fill="CCEEFF"/>
          </w:tcPr>
          <w:p>
            <w:pPr>
              <w:jc w:val="right"/>
              <w:ind w:right="491"/>
              <w:spacing w:after="0" w:line="157" w:lineRule="exact"/>
              <w:rPr>
                <w:sz w:val="20"/>
                <w:szCs w:val="20"/>
                <w:color w:val="auto"/>
              </w:rPr>
            </w:pPr>
            <w:r>
              <w:rPr>
                <w:rFonts w:ascii="Arial" w:cs="Arial" w:eastAsia="Arial" w:hAnsi="Arial"/>
                <w:sz w:val="15"/>
                <w:szCs w:val="15"/>
                <w:color w:val="1A475F"/>
              </w:rPr>
              <w:t>(1,012,539)</w:t>
            </w:r>
          </w:p>
        </w:tc>
        <w:tc>
          <w:tcPr>
            <w:tcW w:w="4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1A475F"/>
              </w:rPr>
              <w:t>710,399</w:t>
            </w:r>
          </w:p>
        </w:tc>
        <w:tc>
          <w:tcPr>
            <w:tcW w:w="6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jc w:val="right"/>
              <w:ind w:right="451"/>
              <w:spacing w:after="0" w:line="157" w:lineRule="exact"/>
              <w:rPr>
                <w:sz w:val="20"/>
                <w:szCs w:val="20"/>
                <w:color w:val="auto"/>
              </w:rPr>
            </w:pPr>
            <w:r>
              <w:rPr>
                <w:rFonts w:ascii="Arial" w:cs="Arial" w:eastAsia="Arial" w:hAnsi="Arial"/>
                <w:sz w:val="15"/>
                <w:szCs w:val="15"/>
                <w:color w:val="1A475F"/>
              </w:rPr>
              <w:t>(257,831)</w:t>
            </w:r>
          </w:p>
        </w:tc>
        <w:tc>
          <w:tcPr>
            <w:tcW w:w="4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right"/>
              <w:ind w:right="491"/>
              <w:spacing w:after="0" w:line="157" w:lineRule="exact"/>
              <w:rPr>
                <w:sz w:val="20"/>
                <w:szCs w:val="20"/>
                <w:color w:val="auto"/>
              </w:rPr>
            </w:pPr>
            <w:r>
              <w:rPr>
                <w:rFonts w:ascii="Arial" w:cs="Arial" w:eastAsia="Arial" w:hAnsi="Arial"/>
                <w:sz w:val="15"/>
                <w:szCs w:val="15"/>
                <w:color w:val="1A475F"/>
              </w:rPr>
              <w:t>240,273</w:t>
            </w:r>
          </w:p>
        </w:tc>
        <w:tc>
          <w:tcPr>
            <w:tcW w:w="4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1A475F"/>
              </w:rPr>
              <w:t>1,587,0</w:t>
            </w:r>
          </w:p>
        </w:tc>
        <w:tc>
          <w:tcPr>
            <w:tcW w:w="0" w:type="dxa"/>
            <w:vAlign w:val="bottom"/>
          </w:tcPr>
          <w:p>
            <w:pPr>
              <w:spacing w:after="0"/>
              <w:rPr>
                <w:sz w:val="1"/>
                <w:szCs w:val="1"/>
                <w:color w:val="auto"/>
              </w:rPr>
            </w:pPr>
          </w:p>
        </w:tc>
      </w:tr>
      <w:tr>
        <w:trPr>
          <w:trHeight w:val="174"/>
        </w:trPr>
        <w:tc>
          <w:tcPr>
            <w:tcW w:w="500" w:type="dxa"/>
            <w:vAlign w:val="bottom"/>
            <w:gridSpan w:val="2"/>
          </w:tcPr>
          <w:p>
            <w:pPr>
              <w:spacing w:after="0"/>
              <w:rPr>
                <w:sz w:val="20"/>
                <w:szCs w:val="20"/>
                <w:color w:val="auto"/>
              </w:rPr>
            </w:pPr>
            <w:r>
              <w:rPr>
                <w:rFonts w:ascii="Arial" w:cs="Arial" w:eastAsia="Arial" w:hAnsi="Arial"/>
                <w:sz w:val="15"/>
                <w:szCs w:val="15"/>
                <w:color w:val="1A475F"/>
              </w:rPr>
              <w:t>2024</w:t>
            </w:r>
            <w:r>
              <w:rPr>
                <w:rFonts w:ascii="Arial" w:cs="Arial" w:eastAsia="Arial" w:hAnsi="Arial"/>
                <w:sz w:val="9"/>
                <w:szCs w:val="9"/>
                <w:color w:val="1A475F"/>
              </w:rPr>
              <w:t>(*)</w:t>
            </w:r>
          </w:p>
        </w:tc>
        <w:tc>
          <w:tcPr>
            <w:tcW w:w="1900" w:type="dxa"/>
            <w:vAlign w:val="bottom"/>
          </w:tcPr>
          <w:p>
            <w:pPr>
              <w:jc w:val="right"/>
              <w:ind w:right="510"/>
              <w:spacing w:after="0"/>
              <w:rPr>
                <w:sz w:val="20"/>
                <w:szCs w:val="20"/>
                <w:color w:val="auto"/>
              </w:rPr>
            </w:pPr>
            <w:r>
              <w:rPr>
                <w:rFonts w:ascii="Arial" w:cs="Arial" w:eastAsia="Arial" w:hAnsi="Arial"/>
                <w:sz w:val="15"/>
                <w:szCs w:val="15"/>
                <w:color w:val="1A475F"/>
              </w:rPr>
              <w:t>1,833,876</w:t>
            </w:r>
          </w:p>
        </w:tc>
        <w:tc>
          <w:tcPr>
            <w:tcW w:w="40" w:type="dxa"/>
            <w:vAlign w:val="bottom"/>
          </w:tcPr>
          <w:p>
            <w:pPr>
              <w:spacing w:after="0"/>
              <w:rPr>
                <w:sz w:val="15"/>
                <w:szCs w:val="15"/>
                <w:color w:val="auto"/>
              </w:rPr>
            </w:pPr>
          </w:p>
        </w:tc>
        <w:tc>
          <w:tcPr>
            <w:tcW w:w="2000" w:type="dxa"/>
            <w:vAlign w:val="bottom"/>
          </w:tcPr>
          <w:p>
            <w:pPr>
              <w:jc w:val="right"/>
              <w:ind w:right="491"/>
              <w:spacing w:after="0"/>
              <w:rPr>
                <w:sz w:val="20"/>
                <w:szCs w:val="20"/>
                <w:color w:val="auto"/>
              </w:rPr>
            </w:pPr>
            <w:r>
              <w:rPr>
                <w:rFonts w:ascii="Arial" w:cs="Arial" w:eastAsia="Arial" w:hAnsi="Arial"/>
                <w:sz w:val="15"/>
                <w:szCs w:val="15"/>
                <w:color w:val="1A475F"/>
              </w:rPr>
              <w:t>(1,012,522)</w:t>
            </w:r>
          </w:p>
        </w:tc>
        <w:tc>
          <w:tcPr>
            <w:tcW w:w="1140" w:type="dxa"/>
            <w:vAlign w:val="bottom"/>
            <w:gridSpan w:val="2"/>
          </w:tcPr>
          <w:p>
            <w:pPr>
              <w:jc w:val="right"/>
              <w:spacing w:after="0"/>
              <w:rPr>
                <w:sz w:val="20"/>
                <w:szCs w:val="20"/>
                <w:color w:val="auto"/>
              </w:rPr>
            </w:pPr>
            <w:r>
              <w:rPr>
                <w:rFonts w:ascii="Arial" w:cs="Arial" w:eastAsia="Arial" w:hAnsi="Arial"/>
                <w:sz w:val="15"/>
                <w:szCs w:val="15"/>
                <w:color w:val="1A475F"/>
              </w:rPr>
              <w:t>922,723</w:t>
            </w:r>
          </w:p>
        </w:tc>
        <w:tc>
          <w:tcPr>
            <w:tcW w:w="60" w:type="dxa"/>
            <w:vAlign w:val="bottom"/>
          </w:tcPr>
          <w:p>
            <w:pPr>
              <w:spacing w:after="0"/>
              <w:rPr>
                <w:sz w:val="15"/>
                <w:szCs w:val="15"/>
                <w:color w:val="auto"/>
              </w:rPr>
            </w:pPr>
          </w:p>
        </w:tc>
        <w:tc>
          <w:tcPr>
            <w:tcW w:w="1900" w:type="dxa"/>
            <w:vAlign w:val="bottom"/>
          </w:tcPr>
          <w:p>
            <w:pPr>
              <w:jc w:val="right"/>
              <w:ind w:right="511"/>
              <w:spacing w:after="0"/>
              <w:rPr>
                <w:sz w:val="20"/>
                <w:szCs w:val="20"/>
                <w:color w:val="auto"/>
              </w:rPr>
            </w:pPr>
            <w:r>
              <w:rPr>
                <w:rFonts w:ascii="Arial" w:cs="Arial" w:eastAsia="Arial" w:hAnsi="Arial"/>
                <w:sz w:val="15"/>
                <w:szCs w:val="15"/>
                <w:color w:val="1A475F"/>
              </w:rPr>
              <w:t>349,357</w:t>
            </w:r>
          </w:p>
        </w:tc>
        <w:tc>
          <w:tcPr>
            <w:tcW w:w="40" w:type="dxa"/>
            <w:vAlign w:val="bottom"/>
          </w:tcPr>
          <w:p>
            <w:pPr>
              <w:spacing w:after="0"/>
              <w:rPr>
                <w:sz w:val="15"/>
                <w:szCs w:val="15"/>
                <w:color w:val="auto"/>
              </w:rPr>
            </w:pPr>
          </w:p>
        </w:tc>
        <w:tc>
          <w:tcPr>
            <w:tcW w:w="1720" w:type="dxa"/>
            <w:vAlign w:val="bottom"/>
          </w:tcPr>
          <w:p>
            <w:pPr>
              <w:jc w:val="right"/>
              <w:ind w:right="491"/>
              <w:spacing w:after="0"/>
              <w:rPr>
                <w:sz w:val="20"/>
                <w:szCs w:val="20"/>
                <w:color w:val="auto"/>
              </w:rPr>
            </w:pPr>
            <w:r>
              <w:rPr>
                <w:rFonts w:ascii="Arial" w:cs="Arial" w:eastAsia="Arial" w:hAnsi="Arial"/>
                <w:sz w:val="15"/>
                <w:szCs w:val="15"/>
                <w:color w:val="1A475F"/>
              </w:rPr>
              <w:t>142,625</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1A475F"/>
              </w:rPr>
              <w:t>2,236,0</w:t>
            </w:r>
          </w:p>
        </w:tc>
        <w:tc>
          <w:tcPr>
            <w:tcW w:w="0" w:type="dxa"/>
            <w:vAlign w:val="bottom"/>
          </w:tcPr>
          <w:p>
            <w:pPr>
              <w:spacing w:after="0"/>
              <w:rPr>
                <w:sz w:val="1"/>
                <w:szCs w:val="1"/>
                <w:color w:val="auto"/>
              </w:rPr>
            </w:pPr>
          </w:p>
        </w:tc>
      </w:tr>
      <w:tr>
        <w:trPr>
          <w:trHeight w:val="174"/>
        </w:trPr>
        <w:tc>
          <w:tcPr>
            <w:tcW w:w="500" w:type="dxa"/>
            <w:vAlign w:val="bottom"/>
            <w:gridSpan w:val="2"/>
            <w:shd w:val="clear" w:color="auto" w:fill="CCEEFF"/>
          </w:tcPr>
          <w:p>
            <w:pPr>
              <w:spacing w:after="0"/>
              <w:rPr>
                <w:sz w:val="20"/>
                <w:szCs w:val="20"/>
                <w:color w:val="auto"/>
              </w:rPr>
            </w:pPr>
            <w:r>
              <w:rPr>
                <w:rFonts w:ascii="Arial" w:cs="Arial" w:eastAsia="Arial" w:hAnsi="Arial"/>
                <w:sz w:val="15"/>
                <w:szCs w:val="15"/>
                <w:color w:val="1A475F"/>
              </w:rPr>
              <w:t>2023</w:t>
            </w:r>
            <w:r>
              <w:rPr>
                <w:rFonts w:ascii="Arial" w:cs="Arial" w:eastAsia="Arial" w:hAnsi="Arial"/>
                <w:sz w:val="9"/>
                <w:szCs w:val="9"/>
                <w:color w:val="1A475F"/>
              </w:rPr>
              <w:t>(*)</w:t>
            </w:r>
          </w:p>
        </w:tc>
        <w:tc>
          <w:tcPr>
            <w:tcW w:w="1900" w:type="dxa"/>
            <w:vAlign w:val="bottom"/>
            <w:shd w:val="clear" w:color="auto" w:fill="CCEEFF"/>
          </w:tcPr>
          <w:p>
            <w:pPr>
              <w:jc w:val="right"/>
              <w:ind w:right="510"/>
              <w:spacing w:after="0"/>
              <w:rPr>
                <w:sz w:val="20"/>
                <w:szCs w:val="20"/>
                <w:color w:val="auto"/>
              </w:rPr>
            </w:pPr>
            <w:r>
              <w:rPr>
                <w:rFonts w:ascii="Arial" w:cs="Arial" w:eastAsia="Arial" w:hAnsi="Arial"/>
                <w:sz w:val="15"/>
                <w:szCs w:val="15"/>
                <w:color w:val="1A475F"/>
              </w:rPr>
              <w:t>1,706,797</w:t>
            </w:r>
          </w:p>
        </w:tc>
        <w:tc>
          <w:tcPr>
            <w:tcW w:w="40" w:type="dxa"/>
            <w:vAlign w:val="bottom"/>
            <w:shd w:val="clear" w:color="auto" w:fill="CCEEFF"/>
          </w:tcPr>
          <w:p>
            <w:pPr>
              <w:spacing w:after="0"/>
              <w:rPr>
                <w:sz w:val="15"/>
                <w:szCs w:val="15"/>
                <w:color w:val="auto"/>
              </w:rPr>
            </w:pPr>
          </w:p>
        </w:tc>
        <w:tc>
          <w:tcPr>
            <w:tcW w:w="2000" w:type="dxa"/>
            <w:vAlign w:val="bottom"/>
            <w:shd w:val="clear" w:color="auto" w:fill="CCEEFF"/>
          </w:tcPr>
          <w:p>
            <w:pPr>
              <w:jc w:val="right"/>
              <w:ind w:right="491"/>
              <w:spacing w:after="0"/>
              <w:rPr>
                <w:sz w:val="20"/>
                <w:szCs w:val="20"/>
                <w:color w:val="auto"/>
              </w:rPr>
            </w:pPr>
            <w:r>
              <w:rPr>
                <w:rFonts w:ascii="Arial" w:cs="Arial" w:eastAsia="Arial" w:hAnsi="Arial"/>
                <w:sz w:val="15"/>
                <w:szCs w:val="15"/>
                <w:color w:val="1A475F"/>
              </w:rPr>
              <w:t>(1,012,473)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1A475F"/>
              </w:rPr>
              <w:t>1,225,704</w:t>
            </w:r>
          </w:p>
        </w:tc>
        <w:tc>
          <w:tcPr>
            <w:tcW w:w="60" w:type="dxa"/>
            <w:vAlign w:val="bottom"/>
            <w:shd w:val="clear" w:color="auto" w:fill="CCEEFF"/>
          </w:tcPr>
          <w:p>
            <w:pPr>
              <w:spacing w:after="0"/>
              <w:rPr>
                <w:sz w:val="15"/>
                <w:szCs w:val="15"/>
                <w:color w:val="auto"/>
              </w:rPr>
            </w:pPr>
          </w:p>
        </w:tc>
        <w:tc>
          <w:tcPr>
            <w:tcW w:w="1900" w:type="dxa"/>
            <w:vAlign w:val="bottom"/>
            <w:shd w:val="clear" w:color="auto" w:fill="CCEEFF"/>
          </w:tcPr>
          <w:p>
            <w:pPr>
              <w:jc w:val="right"/>
              <w:ind w:right="511"/>
              <w:spacing w:after="0"/>
              <w:rPr>
                <w:sz w:val="20"/>
                <w:szCs w:val="20"/>
                <w:color w:val="auto"/>
              </w:rPr>
            </w:pPr>
            <w:r>
              <w:rPr>
                <w:rFonts w:ascii="Arial" w:cs="Arial" w:eastAsia="Arial" w:hAnsi="Arial"/>
                <w:sz w:val="15"/>
                <w:szCs w:val="15"/>
                <w:color w:val="1A475F"/>
              </w:rPr>
              <w:t>701,876</w:t>
            </w:r>
          </w:p>
        </w:tc>
        <w:tc>
          <w:tcPr>
            <w:tcW w:w="4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491"/>
              <w:spacing w:after="0"/>
              <w:rPr>
                <w:sz w:val="20"/>
                <w:szCs w:val="20"/>
                <w:color w:val="auto"/>
              </w:rPr>
            </w:pPr>
            <w:r>
              <w:rPr>
                <w:rFonts w:ascii="Arial" w:cs="Arial" w:eastAsia="Arial" w:hAnsi="Arial"/>
                <w:sz w:val="15"/>
                <w:szCs w:val="15"/>
                <w:color w:val="1A475F"/>
              </w:rPr>
              <w:t>174,859</w:t>
            </w: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1A475F"/>
              </w:rPr>
              <w:t>2,796,7</w:t>
            </w:r>
          </w:p>
        </w:tc>
        <w:tc>
          <w:tcPr>
            <w:tcW w:w="0" w:type="dxa"/>
            <w:vAlign w:val="bottom"/>
          </w:tcPr>
          <w:p>
            <w:pPr>
              <w:spacing w:after="0"/>
              <w:rPr>
                <w:sz w:val="1"/>
                <w:szCs w:val="1"/>
                <w:color w:val="auto"/>
              </w:rPr>
            </w:pPr>
          </w:p>
        </w:tc>
      </w:tr>
      <w:tr>
        <w:trPr>
          <w:trHeight w:val="174"/>
        </w:trPr>
        <w:tc>
          <w:tcPr>
            <w:tcW w:w="500" w:type="dxa"/>
            <w:vAlign w:val="bottom"/>
            <w:gridSpan w:val="2"/>
          </w:tcPr>
          <w:p>
            <w:pPr>
              <w:spacing w:after="0"/>
              <w:rPr>
                <w:sz w:val="20"/>
                <w:szCs w:val="20"/>
                <w:color w:val="auto"/>
              </w:rPr>
            </w:pPr>
            <w:r>
              <w:rPr>
                <w:rFonts w:ascii="Arial" w:cs="Arial" w:eastAsia="Arial" w:hAnsi="Arial"/>
                <w:sz w:val="15"/>
                <w:szCs w:val="15"/>
                <w:color w:val="1A475F"/>
              </w:rPr>
              <w:t>2022</w:t>
            </w:r>
            <w:r>
              <w:rPr>
                <w:rFonts w:ascii="Arial" w:cs="Arial" w:eastAsia="Arial" w:hAnsi="Arial"/>
                <w:sz w:val="9"/>
                <w:szCs w:val="9"/>
                <w:color w:val="1A475F"/>
              </w:rPr>
              <w:t>(*)</w:t>
            </w:r>
          </w:p>
        </w:tc>
        <w:tc>
          <w:tcPr>
            <w:tcW w:w="1900" w:type="dxa"/>
            <w:vAlign w:val="bottom"/>
          </w:tcPr>
          <w:p>
            <w:pPr>
              <w:jc w:val="right"/>
              <w:ind w:right="510"/>
              <w:spacing w:after="0"/>
              <w:rPr>
                <w:sz w:val="20"/>
                <w:szCs w:val="20"/>
                <w:color w:val="auto"/>
              </w:rPr>
            </w:pPr>
            <w:r>
              <w:rPr>
                <w:rFonts w:ascii="Arial" w:cs="Arial" w:eastAsia="Arial" w:hAnsi="Arial"/>
                <w:sz w:val="15"/>
                <w:szCs w:val="15"/>
                <w:color w:val="1A475F"/>
              </w:rPr>
              <w:t>1,437,903</w:t>
            </w:r>
          </w:p>
        </w:tc>
        <w:tc>
          <w:tcPr>
            <w:tcW w:w="40" w:type="dxa"/>
            <w:vAlign w:val="bottom"/>
          </w:tcPr>
          <w:p>
            <w:pPr>
              <w:spacing w:after="0"/>
              <w:rPr>
                <w:sz w:val="15"/>
                <w:szCs w:val="15"/>
                <w:color w:val="auto"/>
              </w:rPr>
            </w:pPr>
          </w:p>
        </w:tc>
        <w:tc>
          <w:tcPr>
            <w:tcW w:w="2000" w:type="dxa"/>
            <w:vAlign w:val="bottom"/>
          </w:tcPr>
          <w:p>
            <w:pPr>
              <w:jc w:val="right"/>
              <w:ind w:right="491"/>
              <w:spacing w:after="0"/>
              <w:rPr>
                <w:sz w:val="20"/>
                <w:szCs w:val="20"/>
                <w:color w:val="auto"/>
              </w:rPr>
            </w:pPr>
            <w:r>
              <w:rPr>
                <w:rFonts w:ascii="Arial" w:cs="Arial" w:eastAsia="Arial" w:hAnsi="Arial"/>
                <w:sz w:val="15"/>
                <w:szCs w:val="15"/>
                <w:color w:val="1A475F"/>
              </w:rPr>
              <w:t>(913,202)</w:t>
            </w:r>
          </w:p>
        </w:tc>
        <w:tc>
          <w:tcPr>
            <w:tcW w:w="1140" w:type="dxa"/>
            <w:vAlign w:val="bottom"/>
            <w:gridSpan w:val="2"/>
          </w:tcPr>
          <w:p>
            <w:pPr>
              <w:jc w:val="right"/>
              <w:spacing w:after="0"/>
              <w:rPr>
                <w:sz w:val="20"/>
                <w:szCs w:val="20"/>
                <w:color w:val="auto"/>
              </w:rPr>
            </w:pPr>
            <w:r>
              <w:rPr>
                <w:rFonts w:ascii="Arial" w:cs="Arial" w:eastAsia="Arial" w:hAnsi="Arial"/>
                <w:sz w:val="15"/>
                <w:szCs w:val="15"/>
                <w:color w:val="1A475F"/>
              </w:rPr>
              <w:t>180,437</w:t>
            </w:r>
          </w:p>
        </w:tc>
        <w:tc>
          <w:tcPr>
            <w:tcW w:w="60" w:type="dxa"/>
            <w:vAlign w:val="bottom"/>
          </w:tcPr>
          <w:p>
            <w:pPr>
              <w:spacing w:after="0"/>
              <w:rPr>
                <w:sz w:val="15"/>
                <w:szCs w:val="15"/>
                <w:color w:val="auto"/>
              </w:rPr>
            </w:pPr>
          </w:p>
        </w:tc>
        <w:tc>
          <w:tcPr>
            <w:tcW w:w="1900" w:type="dxa"/>
            <w:vAlign w:val="bottom"/>
          </w:tcPr>
          <w:p>
            <w:pPr>
              <w:jc w:val="right"/>
              <w:ind w:right="451"/>
              <w:spacing w:after="0"/>
              <w:rPr>
                <w:sz w:val="20"/>
                <w:szCs w:val="20"/>
                <w:color w:val="auto"/>
              </w:rPr>
            </w:pPr>
            <w:r>
              <w:rPr>
                <w:rFonts w:ascii="Arial" w:cs="Arial" w:eastAsia="Arial" w:hAnsi="Arial"/>
                <w:sz w:val="15"/>
                <w:szCs w:val="15"/>
                <w:color w:val="1A475F"/>
              </w:rPr>
              <w:t>(1,242,662)</w:t>
            </w:r>
          </w:p>
        </w:tc>
        <w:tc>
          <w:tcPr>
            <w:tcW w:w="40" w:type="dxa"/>
            <w:vAlign w:val="bottom"/>
          </w:tcPr>
          <w:p>
            <w:pPr>
              <w:spacing w:after="0"/>
              <w:rPr>
                <w:sz w:val="15"/>
                <w:szCs w:val="15"/>
                <w:color w:val="auto"/>
              </w:rPr>
            </w:pPr>
          </w:p>
        </w:tc>
        <w:tc>
          <w:tcPr>
            <w:tcW w:w="1720" w:type="dxa"/>
            <w:vAlign w:val="bottom"/>
          </w:tcPr>
          <w:p>
            <w:pPr>
              <w:jc w:val="right"/>
              <w:ind w:right="491"/>
              <w:spacing w:after="0"/>
              <w:rPr>
                <w:sz w:val="20"/>
                <w:szCs w:val="20"/>
                <w:color w:val="auto"/>
              </w:rPr>
            </w:pPr>
            <w:r>
              <w:rPr>
                <w:rFonts w:ascii="Arial" w:cs="Arial" w:eastAsia="Arial" w:hAnsi="Arial"/>
                <w:sz w:val="15"/>
                <w:szCs w:val="15"/>
                <w:color w:val="1A475F"/>
              </w:rPr>
              <w:t>18,136</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1A475F"/>
              </w:rPr>
              <w:t>(519,3</w:t>
            </w:r>
          </w:p>
        </w:tc>
        <w:tc>
          <w:tcPr>
            <w:tcW w:w="0" w:type="dxa"/>
            <w:vAlign w:val="bottom"/>
          </w:tcPr>
          <w:p>
            <w:pPr>
              <w:spacing w:after="0"/>
              <w:rPr>
                <w:sz w:val="1"/>
                <w:szCs w:val="1"/>
                <w:color w:val="auto"/>
              </w:rPr>
            </w:pPr>
          </w:p>
        </w:tc>
      </w:tr>
      <w:tr>
        <w:trPr>
          <w:trHeight w:val="174"/>
        </w:trPr>
        <w:tc>
          <w:tcPr>
            <w:tcW w:w="500" w:type="dxa"/>
            <w:vAlign w:val="bottom"/>
            <w:gridSpan w:val="2"/>
            <w:shd w:val="clear" w:color="auto" w:fill="CCEEFF"/>
          </w:tcPr>
          <w:p>
            <w:pPr>
              <w:spacing w:after="0"/>
              <w:rPr>
                <w:sz w:val="20"/>
                <w:szCs w:val="20"/>
                <w:color w:val="auto"/>
              </w:rPr>
            </w:pPr>
            <w:r>
              <w:rPr>
                <w:rFonts w:ascii="Arial" w:cs="Arial" w:eastAsia="Arial" w:hAnsi="Arial"/>
                <w:sz w:val="15"/>
                <w:szCs w:val="15"/>
                <w:color w:val="1A475F"/>
              </w:rPr>
              <w:t>2021</w:t>
            </w:r>
          </w:p>
        </w:tc>
        <w:tc>
          <w:tcPr>
            <w:tcW w:w="1900" w:type="dxa"/>
            <w:vAlign w:val="bottom"/>
            <w:shd w:val="clear" w:color="auto" w:fill="CCEEFF"/>
          </w:tcPr>
          <w:p>
            <w:pPr>
              <w:jc w:val="right"/>
              <w:ind w:right="510"/>
              <w:spacing w:after="0"/>
              <w:rPr>
                <w:sz w:val="20"/>
                <w:szCs w:val="20"/>
                <w:color w:val="auto"/>
              </w:rPr>
            </w:pPr>
            <w:r>
              <w:rPr>
                <w:rFonts w:ascii="Arial" w:cs="Arial" w:eastAsia="Arial" w:hAnsi="Arial"/>
                <w:sz w:val="15"/>
                <w:szCs w:val="15"/>
                <w:color w:val="1A475F"/>
              </w:rPr>
              <w:t>1,507,741</w:t>
            </w:r>
          </w:p>
        </w:tc>
        <w:tc>
          <w:tcPr>
            <w:tcW w:w="40" w:type="dxa"/>
            <w:vAlign w:val="bottom"/>
            <w:shd w:val="clear" w:color="auto" w:fill="CCEEFF"/>
          </w:tcPr>
          <w:p>
            <w:pPr>
              <w:spacing w:after="0"/>
              <w:rPr>
                <w:sz w:val="15"/>
                <w:szCs w:val="15"/>
                <w:color w:val="auto"/>
              </w:rPr>
            </w:pPr>
          </w:p>
        </w:tc>
        <w:tc>
          <w:tcPr>
            <w:tcW w:w="2000" w:type="dxa"/>
            <w:vAlign w:val="bottom"/>
            <w:shd w:val="clear" w:color="auto" w:fill="CCEEFF"/>
          </w:tcPr>
          <w:p>
            <w:pPr>
              <w:jc w:val="right"/>
              <w:ind w:right="491"/>
              <w:spacing w:after="0"/>
              <w:rPr>
                <w:sz w:val="20"/>
                <w:szCs w:val="20"/>
                <w:color w:val="auto"/>
              </w:rPr>
            </w:pPr>
            <w:r>
              <w:rPr>
                <w:rFonts w:ascii="Arial" w:cs="Arial" w:eastAsia="Arial" w:hAnsi="Arial"/>
                <w:sz w:val="15"/>
                <w:szCs w:val="15"/>
                <w:color w:val="1A475F"/>
              </w:rPr>
              <w:t>(956,084)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1A475F"/>
              </w:rPr>
              <w:t>683,432</w:t>
            </w:r>
          </w:p>
        </w:tc>
        <w:tc>
          <w:tcPr>
            <w:tcW w:w="60" w:type="dxa"/>
            <w:vAlign w:val="bottom"/>
            <w:shd w:val="clear" w:color="auto" w:fill="CCEEFF"/>
          </w:tcPr>
          <w:p>
            <w:pPr>
              <w:spacing w:after="0"/>
              <w:rPr>
                <w:sz w:val="15"/>
                <w:szCs w:val="15"/>
                <w:color w:val="auto"/>
              </w:rPr>
            </w:pPr>
          </w:p>
        </w:tc>
        <w:tc>
          <w:tcPr>
            <w:tcW w:w="1900" w:type="dxa"/>
            <w:vAlign w:val="bottom"/>
            <w:shd w:val="clear" w:color="auto" w:fill="CCEEFF"/>
          </w:tcPr>
          <w:p>
            <w:pPr>
              <w:jc w:val="right"/>
              <w:ind w:right="451"/>
              <w:spacing w:after="0"/>
              <w:rPr>
                <w:sz w:val="20"/>
                <w:szCs w:val="20"/>
                <w:color w:val="auto"/>
              </w:rPr>
            </w:pPr>
            <w:r>
              <w:rPr>
                <w:rFonts w:ascii="Arial" w:cs="Arial" w:eastAsia="Arial" w:hAnsi="Arial"/>
                <w:sz w:val="15"/>
                <w:szCs w:val="15"/>
                <w:color w:val="1A475F"/>
              </w:rPr>
              <w:t>(1,055,642)</w:t>
            </w:r>
          </w:p>
        </w:tc>
        <w:tc>
          <w:tcPr>
            <w:tcW w:w="4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431"/>
              <w:spacing w:after="0"/>
              <w:rPr>
                <w:sz w:val="20"/>
                <w:szCs w:val="20"/>
                <w:color w:val="auto"/>
              </w:rPr>
            </w:pPr>
            <w:r>
              <w:rPr>
                <w:rFonts w:ascii="Arial" w:cs="Arial" w:eastAsia="Arial" w:hAnsi="Arial"/>
                <w:sz w:val="15"/>
                <w:szCs w:val="15"/>
                <w:color w:val="1A475F"/>
              </w:rPr>
              <w:t>(90,506)</w:t>
            </w: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1A475F"/>
              </w:rPr>
              <w:t>88,9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80645</wp:posOffset>
            </wp:positionV>
            <wp:extent cx="65405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34" w:lineRule="exact"/>
        <w:rPr>
          <w:sz w:val="20"/>
          <w:szCs w:val="20"/>
          <w:color w:val="auto"/>
        </w:rPr>
      </w:pPr>
    </w:p>
    <w:p>
      <w:pPr>
        <w:ind w:left="1280" w:right="1100" w:hanging="379"/>
        <w:spacing w:after="0" w:line="248" w:lineRule="auto"/>
        <w:tabs>
          <w:tab w:leader="none" w:pos="1280" w:val="left"/>
        </w:tabs>
        <w:numPr>
          <w:ilvl w:val="0"/>
          <w:numId w:val="77"/>
        </w:numPr>
        <w:rPr>
          <w:rFonts w:ascii="Arial" w:cs="Arial" w:eastAsia="Arial" w:hAnsi="Arial"/>
          <w:sz w:val="12"/>
          <w:szCs w:val="12"/>
          <w:color w:val="1A475F"/>
        </w:rPr>
      </w:pPr>
      <w:r>
        <w:rPr>
          <w:rFonts w:ascii="Arial" w:cs="Arial" w:eastAsia="Arial" w:hAnsi="Arial"/>
          <w:sz w:val="12"/>
          <w:szCs w:val="12"/>
          <w:color w:val="1A475F"/>
        </w:rPr>
        <w:t>Amounts reported for Ms. Marshall are converted from British pounds to U.S. dollars using the following average exchange rates: 1.3181 U.S. dollars per 1.00 British pound for 2025; 1.2779 U.S. dollars per 1.00 British pound for 2024; 1.2434 U.S. dollars per 1.00 British pound for 2023; and 1.2374 U.S. dollars per 1.00 British pound for 2022.</w:t>
      </w:r>
    </w:p>
    <w:p>
      <w:pPr>
        <w:spacing w:after="0" w:line="1" w:lineRule="exact"/>
        <w:rPr>
          <w:sz w:val="20"/>
          <w:szCs w:val="20"/>
          <w:color w:val="auto"/>
        </w:rPr>
      </w:pPr>
    </w:p>
    <w:p>
      <w:pPr>
        <w:ind w:left="1280" w:hanging="379"/>
        <w:spacing w:after="0"/>
        <w:tabs>
          <w:tab w:leader="none" w:pos="1280" w:val="left"/>
        </w:tabs>
        <w:numPr>
          <w:ilvl w:val="0"/>
          <w:numId w:val="78"/>
        </w:numPr>
        <w:rPr>
          <w:rFonts w:ascii="Arial" w:cs="Arial" w:eastAsia="Arial" w:hAnsi="Arial"/>
          <w:sz w:val="12"/>
          <w:szCs w:val="12"/>
          <w:color w:val="1A475F"/>
        </w:rPr>
      </w:pPr>
      <w:r>
        <w:rPr>
          <w:rFonts w:ascii="Arial" w:cs="Arial" w:eastAsia="Arial" w:hAnsi="Arial"/>
          <w:sz w:val="12"/>
          <w:szCs w:val="12"/>
          <w:color w:val="1A475F"/>
        </w:rPr>
        <w:t>Reflects the average total compensation reported for our Non-PEO NEOs in the “Summary Compensation Table” for each of the years presented.</w:t>
      </w:r>
    </w:p>
    <w:p>
      <w:pPr>
        <w:ind w:left="1280" w:right="1020" w:hanging="379"/>
        <w:spacing w:after="0" w:line="261" w:lineRule="auto"/>
        <w:tabs>
          <w:tab w:leader="none" w:pos="1280" w:val="left"/>
        </w:tabs>
        <w:numPr>
          <w:ilvl w:val="0"/>
          <w:numId w:val="78"/>
        </w:numPr>
        <w:rPr>
          <w:rFonts w:ascii="Arial" w:cs="Arial" w:eastAsia="Arial" w:hAnsi="Arial"/>
          <w:sz w:val="12"/>
          <w:szCs w:val="12"/>
          <w:color w:val="1A475F"/>
        </w:rPr>
      </w:pPr>
      <w:r>
        <w:rPr>
          <w:rFonts w:ascii="Arial" w:cs="Arial" w:eastAsia="Arial" w:hAnsi="Arial"/>
          <w:sz w:val="12"/>
          <w:szCs w:val="12"/>
          <w:color w:val="1A475F"/>
        </w:rPr>
        <w:t>Represents the average of the grant date fair value of the equity awards to our Non-PEO NEOs as reported in the “Stock Awards” and “Option Awards” columns in the “Summary Compensation Table” for each of the years presented.</w:t>
      </w:r>
    </w:p>
    <w:p>
      <w:pPr>
        <w:spacing w:after="0" w:line="84" w:lineRule="exact"/>
        <w:rPr>
          <w:sz w:val="20"/>
          <w:szCs w:val="20"/>
          <w:color w:val="auto"/>
        </w:rPr>
      </w:pPr>
    </w:p>
    <w:p>
      <w:pPr>
        <w:jc w:val="right"/>
        <w:ind w:right="1000"/>
        <w:spacing w:after="0"/>
        <w:tabs>
          <w:tab w:leader="none" w:pos="1140" w:val="left"/>
        </w:tabs>
        <w:rPr>
          <w:sz w:val="20"/>
          <w:szCs w:val="20"/>
          <w:color w:val="auto"/>
        </w:rPr>
      </w:pPr>
      <w:r>
        <w:rPr>
          <w:rFonts w:ascii="Arial" w:cs="Arial" w:eastAsia="Arial" w:hAnsi="Arial"/>
          <w:sz w:val="15"/>
          <w:szCs w:val="15"/>
          <w:b w:val="1"/>
          <w:bCs w:val="1"/>
          <w:color w:val="1A475F"/>
        </w:rPr>
        <w:t>    2026 Proxy Statement  |</w:t>
      </w:r>
      <w:r>
        <w:rPr>
          <w:sz w:val="20"/>
          <w:szCs w:val="20"/>
          <w:color w:val="auto"/>
        </w:rPr>
        <w:tab/>
      </w:r>
      <w:r>
        <w:rPr>
          <w:rFonts w:ascii="Arial" w:cs="Arial" w:eastAsia="Arial" w:hAnsi="Arial"/>
          <w:sz w:val="14"/>
          <w:szCs w:val="14"/>
          <w:b w:val="1"/>
          <w:bCs w:val="1"/>
          <w:color w:val="1A475F"/>
        </w:rPr>
        <w:t>53</w:t>
      </w:r>
    </w:p>
    <w:p>
      <w:pPr>
        <w:sectPr>
          <w:pgSz w:w="11900" w:h="16838" w:orient="portrait"/>
          <w:cols w:equalWidth="0" w:num="1">
            <w:col w:w="11340"/>
          </w:cols>
          <w:pgMar w:left="320" w:top="434"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90" w:lineRule="exact"/>
        <w:rPr>
          <w:sz w:val="20"/>
          <w:szCs w:val="20"/>
          <w:color w:val="auto"/>
        </w:rPr>
      </w:pPr>
    </w:p>
    <w:p>
      <w:pPr>
        <w:ind w:left="1280" w:right="20" w:hanging="379"/>
        <w:spacing w:after="0" w:line="251" w:lineRule="auto"/>
        <w:tabs>
          <w:tab w:leader="none" w:pos="1280" w:val="left"/>
        </w:tabs>
        <w:numPr>
          <w:ilvl w:val="0"/>
          <w:numId w:val="79"/>
        </w:numPr>
        <w:rPr>
          <w:rFonts w:ascii="Arial" w:cs="Arial" w:eastAsia="Arial" w:hAnsi="Arial"/>
          <w:sz w:val="12"/>
          <w:szCs w:val="12"/>
          <w:color w:val="1A475F"/>
        </w:rPr>
      </w:pPr>
      <w:r>
        <w:rPr>
          <w:rFonts w:ascii="Arial" w:cs="Arial" w:eastAsia="Arial" w:hAnsi="Arial"/>
          <w:sz w:val="12"/>
          <w:szCs w:val="12"/>
          <w:color w:val="1A475F"/>
        </w:rPr>
        <w:t>Equity values are calculated in accordance with FASB ASC Topic 718. For 2022 and 2021, the amounts included related to purchased restricted stock awards represent the average grant date fair value or measurement date fair value as of the end of the covered fiscal year, as applicable, of all purchased restricted stock awards granted to our Non-PEO NEOs less the 50% purchase price paid by each for such awards. There were no purchased restricted stock awards granted in 2025, 2024 or 2023. The following amounts were the total paid in cash on the grant date by our Non-PEO NEOs upon each award of purchased restricted stock and are excluded from the respective columns consistent with the determination of fair value in accordance with FASB ASC Topic 718:</w:t>
      </w:r>
    </w:p>
    <w:p>
      <w:pPr>
        <w:spacing w:after="0" w:line="174" w:lineRule="exact"/>
        <w:rPr>
          <w:sz w:val="20"/>
          <w:szCs w:val="20"/>
          <w:color w:val="auto"/>
        </w:rPr>
      </w:pPr>
    </w:p>
    <w:tbl>
      <w:tblPr>
        <w:tblLayout w:type="fixed"/>
        <w:tblInd w:w="2420" w:type="dxa"/>
        <w:tblCellMar>
          <w:top w:w="0" w:type="dxa"/>
          <w:left w:w="0" w:type="dxa"/>
          <w:bottom w:w="0" w:type="dxa"/>
          <w:right w:w="0" w:type="dxa"/>
        </w:tblCellMar>
      </w:tblPr>
      <w:tr>
        <w:trPr>
          <w:trHeight w:val="131"/>
        </w:trPr>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1A475F"/>
              </w:rPr>
              <w:t>Year</w:t>
            </w:r>
          </w:p>
        </w:tc>
        <w:tc>
          <w:tcPr>
            <w:tcW w:w="2940" w:type="dxa"/>
            <w:vAlign w:val="bottom"/>
            <w:gridSpan w:val="2"/>
          </w:tcPr>
          <w:p>
            <w:pPr>
              <w:ind w:left="480"/>
              <w:spacing w:after="0"/>
              <w:rPr>
                <w:sz w:val="20"/>
                <w:szCs w:val="20"/>
                <w:color w:val="auto"/>
              </w:rPr>
            </w:pPr>
            <w:r>
              <w:rPr>
                <w:rFonts w:ascii="Arial" w:cs="Arial" w:eastAsia="Arial" w:hAnsi="Arial"/>
                <w:sz w:val="11"/>
                <w:szCs w:val="11"/>
                <w:b w:val="1"/>
                <w:bCs w:val="1"/>
                <w:color w:val="1A475F"/>
                <w:w w:val="96"/>
              </w:rPr>
              <w:t>Total Purchase Price Paid by Non-PEO NEOs ($)</w:t>
            </w:r>
          </w:p>
        </w:tc>
        <w:tc>
          <w:tcPr>
            <w:tcW w:w="2740" w:type="dxa"/>
            <w:vAlign w:val="bottom"/>
            <w:gridSpan w:val="2"/>
          </w:tcPr>
          <w:p>
            <w:pPr>
              <w:ind w:left="920"/>
              <w:spacing w:after="0"/>
              <w:rPr>
                <w:sz w:val="20"/>
                <w:szCs w:val="20"/>
                <w:color w:val="auto"/>
              </w:rPr>
            </w:pPr>
            <w:r>
              <w:rPr>
                <w:rFonts w:ascii="Arial" w:cs="Arial" w:eastAsia="Arial" w:hAnsi="Arial"/>
                <w:sz w:val="11"/>
                <w:szCs w:val="11"/>
                <w:b w:val="1"/>
                <w:bCs w:val="1"/>
                <w:color w:val="1A475F"/>
                <w:w w:val="96"/>
              </w:rPr>
              <w:t>Total Shares of Restricted Stock (#)</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99"/>
        </w:trPr>
        <w:tc>
          <w:tcPr>
            <w:tcW w:w="740" w:type="dxa"/>
            <w:vAlign w:val="bottom"/>
            <w:gridSpan w:val="3"/>
            <w:shd w:val="clear" w:color="auto" w:fill="CCEEFF"/>
          </w:tcPr>
          <w:p>
            <w:pPr>
              <w:ind w:left="20"/>
              <w:spacing w:after="0" w:line="99" w:lineRule="exact"/>
              <w:rPr>
                <w:sz w:val="20"/>
                <w:szCs w:val="20"/>
                <w:color w:val="auto"/>
              </w:rPr>
            </w:pPr>
            <w:r>
              <w:rPr>
                <w:rFonts w:ascii="Arial" w:cs="Arial" w:eastAsia="Arial" w:hAnsi="Arial"/>
                <w:sz w:val="11"/>
                <w:szCs w:val="11"/>
                <w:color w:val="1A475F"/>
              </w:rPr>
              <w:t>2025</w:t>
            </w:r>
          </w:p>
        </w:tc>
        <w:tc>
          <w:tcPr>
            <w:tcW w:w="480" w:type="dxa"/>
            <w:vAlign w:val="bottom"/>
            <w:shd w:val="clear" w:color="auto" w:fill="CCEEFF"/>
          </w:tcPr>
          <w:p>
            <w:pPr>
              <w:spacing w:after="0"/>
              <w:rPr>
                <w:sz w:val="8"/>
                <w:szCs w:val="8"/>
                <w:color w:val="auto"/>
              </w:rPr>
            </w:pPr>
          </w:p>
        </w:tc>
        <w:tc>
          <w:tcPr>
            <w:tcW w:w="2460" w:type="dxa"/>
            <w:vAlign w:val="bottom"/>
            <w:shd w:val="clear" w:color="auto" w:fill="CCEEFF"/>
          </w:tcPr>
          <w:p>
            <w:pPr>
              <w:jc w:val="center"/>
              <w:spacing w:after="0" w:line="99" w:lineRule="exact"/>
              <w:rPr>
                <w:sz w:val="20"/>
                <w:szCs w:val="20"/>
                <w:color w:val="auto"/>
              </w:rPr>
            </w:pPr>
            <w:r>
              <w:rPr>
                <w:rFonts w:ascii="Arial" w:cs="Arial" w:eastAsia="Arial" w:hAnsi="Arial"/>
                <w:sz w:val="11"/>
                <w:szCs w:val="11"/>
                <w:color w:val="1A475F"/>
                <w:w w:val="90"/>
              </w:rPr>
              <w:t>—</w:t>
            </w:r>
          </w:p>
        </w:tc>
        <w:tc>
          <w:tcPr>
            <w:tcW w:w="920" w:type="dxa"/>
            <w:vAlign w:val="bottom"/>
            <w:shd w:val="clear" w:color="auto" w:fill="CCEEFF"/>
          </w:tcPr>
          <w:p>
            <w:pPr>
              <w:spacing w:after="0"/>
              <w:rPr>
                <w:sz w:val="8"/>
                <w:szCs w:val="8"/>
                <w:color w:val="auto"/>
              </w:rPr>
            </w:pPr>
          </w:p>
        </w:tc>
        <w:tc>
          <w:tcPr>
            <w:tcW w:w="1820" w:type="dxa"/>
            <w:vAlign w:val="bottom"/>
            <w:shd w:val="clear" w:color="auto" w:fill="CCEEFF"/>
          </w:tcPr>
          <w:p>
            <w:pPr>
              <w:jc w:val="center"/>
              <w:spacing w:after="0" w:line="99" w:lineRule="exact"/>
              <w:rPr>
                <w:sz w:val="20"/>
                <w:szCs w:val="20"/>
                <w:color w:val="auto"/>
              </w:rPr>
            </w:pPr>
            <w:r>
              <w:rPr>
                <w:rFonts w:ascii="Arial" w:cs="Arial" w:eastAsia="Arial" w:hAnsi="Arial"/>
                <w:sz w:val="11"/>
                <w:szCs w:val="11"/>
                <w:color w:val="1A475F"/>
              </w:rPr>
              <w:t>—</w:t>
            </w:r>
          </w:p>
        </w:tc>
      </w:tr>
      <w:tr>
        <w:trPr>
          <w:trHeight w:val="116"/>
        </w:trPr>
        <w:tc>
          <w:tcPr>
            <w:tcW w:w="740" w:type="dxa"/>
            <w:vAlign w:val="bottom"/>
            <w:gridSpan w:val="3"/>
          </w:tcPr>
          <w:p>
            <w:pPr>
              <w:ind w:left="20"/>
              <w:spacing w:after="0" w:line="116" w:lineRule="exact"/>
              <w:rPr>
                <w:sz w:val="20"/>
                <w:szCs w:val="20"/>
                <w:color w:val="auto"/>
              </w:rPr>
            </w:pPr>
            <w:r>
              <w:rPr>
                <w:rFonts w:ascii="Arial" w:cs="Arial" w:eastAsia="Arial" w:hAnsi="Arial"/>
                <w:sz w:val="11"/>
                <w:szCs w:val="11"/>
                <w:color w:val="1A475F"/>
              </w:rPr>
              <w:t>2024</w:t>
            </w:r>
          </w:p>
        </w:tc>
        <w:tc>
          <w:tcPr>
            <w:tcW w:w="480" w:type="dxa"/>
            <w:vAlign w:val="bottom"/>
          </w:tcPr>
          <w:p>
            <w:pPr>
              <w:spacing w:after="0"/>
              <w:rPr>
                <w:sz w:val="10"/>
                <w:szCs w:val="10"/>
                <w:color w:val="auto"/>
              </w:rPr>
            </w:pPr>
          </w:p>
        </w:tc>
        <w:tc>
          <w:tcPr>
            <w:tcW w:w="2460" w:type="dxa"/>
            <w:vAlign w:val="bottom"/>
          </w:tcPr>
          <w:p>
            <w:pPr>
              <w:jc w:val="center"/>
              <w:spacing w:after="0" w:line="116" w:lineRule="exact"/>
              <w:rPr>
                <w:sz w:val="20"/>
                <w:szCs w:val="20"/>
                <w:color w:val="auto"/>
              </w:rPr>
            </w:pPr>
            <w:r>
              <w:rPr>
                <w:rFonts w:ascii="Arial" w:cs="Arial" w:eastAsia="Arial" w:hAnsi="Arial"/>
                <w:sz w:val="11"/>
                <w:szCs w:val="11"/>
                <w:color w:val="1A475F"/>
                <w:w w:val="90"/>
              </w:rPr>
              <w:t>—</w:t>
            </w:r>
          </w:p>
        </w:tc>
        <w:tc>
          <w:tcPr>
            <w:tcW w:w="920" w:type="dxa"/>
            <w:vAlign w:val="bottom"/>
          </w:tcPr>
          <w:p>
            <w:pPr>
              <w:spacing w:after="0"/>
              <w:rPr>
                <w:sz w:val="10"/>
                <w:szCs w:val="10"/>
                <w:color w:val="auto"/>
              </w:rPr>
            </w:pPr>
          </w:p>
        </w:tc>
        <w:tc>
          <w:tcPr>
            <w:tcW w:w="1820" w:type="dxa"/>
            <w:vAlign w:val="bottom"/>
          </w:tcPr>
          <w:p>
            <w:pPr>
              <w:jc w:val="center"/>
              <w:spacing w:after="0" w:line="116" w:lineRule="exact"/>
              <w:rPr>
                <w:sz w:val="20"/>
                <w:szCs w:val="20"/>
                <w:color w:val="auto"/>
              </w:rPr>
            </w:pPr>
            <w:r>
              <w:rPr>
                <w:rFonts w:ascii="Arial" w:cs="Arial" w:eastAsia="Arial" w:hAnsi="Arial"/>
                <w:sz w:val="11"/>
                <w:szCs w:val="11"/>
                <w:color w:val="1A475F"/>
              </w:rPr>
              <w:t>—</w:t>
            </w:r>
          </w:p>
        </w:tc>
      </w:tr>
      <w:tr>
        <w:trPr>
          <w:trHeight w:val="116"/>
        </w:trPr>
        <w:tc>
          <w:tcPr>
            <w:tcW w:w="740" w:type="dxa"/>
            <w:vAlign w:val="bottom"/>
            <w:gridSpan w:val="3"/>
            <w:shd w:val="clear" w:color="auto" w:fill="CCEEFF"/>
          </w:tcPr>
          <w:p>
            <w:pPr>
              <w:ind w:left="20"/>
              <w:spacing w:after="0" w:line="116" w:lineRule="exact"/>
              <w:rPr>
                <w:sz w:val="20"/>
                <w:szCs w:val="20"/>
                <w:color w:val="auto"/>
              </w:rPr>
            </w:pPr>
            <w:r>
              <w:rPr>
                <w:rFonts w:ascii="Arial" w:cs="Arial" w:eastAsia="Arial" w:hAnsi="Arial"/>
                <w:sz w:val="11"/>
                <w:szCs w:val="11"/>
                <w:color w:val="1A475F"/>
              </w:rPr>
              <w:t>2023</w:t>
            </w:r>
          </w:p>
        </w:tc>
        <w:tc>
          <w:tcPr>
            <w:tcW w:w="480" w:type="dxa"/>
            <w:vAlign w:val="bottom"/>
            <w:shd w:val="clear" w:color="auto" w:fill="CCEEFF"/>
          </w:tcPr>
          <w:p>
            <w:pPr>
              <w:spacing w:after="0"/>
              <w:rPr>
                <w:sz w:val="10"/>
                <w:szCs w:val="10"/>
                <w:color w:val="auto"/>
              </w:rPr>
            </w:pPr>
          </w:p>
        </w:tc>
        <w:tc>
          <w:tcPr>
            <w:tcW w:w="246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w w:val="90"/>
              </w:rPr>
              <w:t>—</w:t>
            </w:r>
          </w:p>
        </w:tc>
        <w:tc>
          <w:tcPr>
            <w:tcW w:w="920" w:type="dxa"/>
            <w:vAlign w:val="bottom"/>
            <w:shd w:val="clear" w:color="auto" w:fill="CCEEFF"/>
          </w:tcPr>
          <w:p>
            <w:pPr>
              <w:spacing w:after="0"/>
              <w:rPr>
                <w:sz w:val="10"/>
                <w:szCs w:val="10"/>
                <w:color w:val="auto"/>
              </w:rPr>
            </w:pPr>
          </w:p>
        </w:tc>
        <w:tc>
          <w:tcPr>
            <w:tcW w:w="182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color w:val="1A475F"/>
              </w:rPr>
              <w:t>—</w:t>
            </w:r>
          </w:p>
        </w:tc>
      </w:tr>
      <w:tr>
        <w:trPr>
          <w:trHeight w:val="116"/>
        </w:trPr>
        <w:tc>
          <w:tcPr>
            <w:tcW w:w="740" w:type="dxa"/>
            <w:vAlign w:val="bottom"/>
            <w:gridSpan w:val="3"/>
          </w:tcPr>
          <w:p>
            <w:pPr>
              <w:ind w:left="20"/>
              <w:spacing w:after="0" w:line="116" w:lineRule="exact"/>
              <w:rPr>
                <w:sz w:val="20"/>
                <w:szCs w:val="20"/>
                <w:color w:val="auto"/>
              </w:rPr>
            </w:pPr>
            <w:r>
              <w:rPr>
                <w:rFonts w:ascii="Arial" w:cs="Arial" w:eastAsia="Arial" w:hAnsi="Arial"/>
                <w:sz w:val="11"/>
                <w:szCs w:val="11"/>
                <w:color w:val="1A475F"/>
              </w:rPr>
              <w:t>2022</w:t>
            </w:r>
          </w:p>
        </w:tc>
        <w:tc>
          <w:tcPr>
            <w:tcW w:w="2940" w:type="dxa"/>
            <w:vAlign w:val="bottom"/>
            <w:gridSpan w:val="2"/>
          </w:tcPr>
          <w:p>
            <w:pPr>
              <w:jc w:val="center"/>
              <w:ind w:left="426"/>
              <w:spacing w:after="0" w:line="116" w:lineRule="exact"/>
              <w:rPr>
                <w:sz w:val="20"/>
                <w:szCs w:val="20"/>
                <w:color w:val="auto"/>
              </w:rPr>
            </w:pPr>
            <w:r>
              <w:rPr>
                <w:rFonts w:ascii="Arial" w:cs="Arial" w:eastAsia="Arial" w:hAnsi="Arial"/>
                <w:sz w:val="11"/>
                <w:szCs w:val="11"/>
                <w:color w:val="1A475F"/>
                <w:w w:val="95"/>
              </w:rPr>
              <w:t>981,210</w:t>
            </w:r>
          </w:p>
        </w:tc>
        <w:tc>
          <w:tcPr>
            <w:tcW w:w="2740" w:type="dxa"/>
            <w:vAlign w:val="bottom"/>
            <w:gridSpan w:val="2"/>
          </w:tcPr>
          <w:p>
            <w:pPr>
              <w:jc w:val="center"/>
              <w:ind w:left="846"/>
              <w:spacing w:after="0" w:line="116" w:lineRule="exact"/>
              <w:rPr>
                <w:sz w:val="20"/>
                <w:szCs w:val="20"/>
                <w:color w:val="auto"/>
              </w:rPr>
            </w:pPr>
            <w:r>
              <w:rPr>
                <w:rFonts w:ascii="Arial" w:cs="Arial" w:eastAsia="Arial" w:hAnsi="Arial"/>
                <w:sz w:val="11"/>
                <w:szCs w:val="11"/>
                <w:color w:val="1A475F"/>
                <w:w w:val="94"/>
              </w:rPr>
              <w:t>15,235</w:t>
            </w:r>
          </w:p>
        </w:tc>
      </w:tr>
      <w:tr>
        <w:trPr>
          <w:trHeight w:val="116"/>
        </w:trPr>
        <w:tc>
          <w:tcPr>
            <w:tcW w:w="740" w:type="dxa"/>
            <w:vAlign w:val="bottom"/>
            <w:gridSpan w:val="3"/>
            <w:shd w:val="clear" w:color="auto" w:fill="CCEEFF"/>
          </w:tcPr>
          <w:p>
            <w:pPr>
              <w:ind w:left="20"/>
              <w:spacing w:after="0" w:line="116" w:lineRule="exact"/>
              <w:rPr>
                <w:sz w:val="20"/>
                <w:szCs w:val="20"/>
                <w:color w:val="auto"/>
              </w:rPr>
            </w:pPr>
            <w:r>
              <w:rPr>
                <w:rFonts w:ascii="Arial" w:cs="Arial" w:eastAsia="Arial" w:hAnsi="Arial"/>
                <w:sz w:val="11"/>
                <w:szCs w:val="11"/>
                <w:color w:val="1A475F"/>
              </w:rPr>
              <w:t>2021</w:t>
            </w:r>
          </w:p>
        </w:tc>
        <w:tc>
          <w:tcPr>
            <w:tcW w:w="2940" w:type="dxa"/>
            <w:vAlign w:val="bottom"/>
            <w:gridSpan w:val="2"/>
            <w:shd w:val="clear" w:color="auto" w:fill="CCEEFF"/>
          </w:tcPr>
          <w:p>
            <w:pPr>
              <w:jc w:val="center"/>
              <w:ind w:left="406"/>
              <w:spacing w:after="0" w:line="116" w:lineRule="exact"/>
              <w:rPr>
                <w:sz w:val="20"/>
                <w:szCs w:val="20"/>
                <w:color w:val="auto"/>
              </w:rPr>
            </w:pPr>
            <w:r>
              <w:rPr>
                <w:rFonts w:ascii="Arial" w:cs="Arial" w:eastAsia="Arial" w:hAnsi="Arial"/>
                <w:sz w:val="11"/>
                <w:szCs w:val="11"/>
                <w:color w:val="1A475F"/>
                <w:w w:val="97"/>
              </w:rPr>
              <w:t>2,196,922</w:t>
            </w:r>
          </w:p>
        </w:tc>
        <w:tc>
          <w:tcPr>
            <w:tcW w:w="2740" w:type="dxa"/>
            <w:vAlign w:val="bottom"/>
            <w:gridSpan w:val="2"/>
            <w:shd w:val="clear" w:color="auto" w:fill="CCEEFF"/>
          </w:tcPr>
          <w:p>
            <w:pPr>
              <w:jc w:val="center"/>
              <w:ind w:left="846"/>
              <w:spacing w:after="0" w:line="116" w:lineRule="exact"/>
              <w:rPr>
                <w:sz w:val="20"/>
                <w:szCs w:val="20"/>
                <w:color w:val="auto"/>
              </w:rPr>
            </w:pPr>
            <w:r>
              <w:rPr>
                <w:rFonts w:ascii="Arial" w:cs="Arial" w:eastAsia="Arial" w:hAnsi="Arial"/>
                <w:sz w:val="11"/>
                <w:szCs w:val="11"/>
                <w:color w:val="1A475F"/>
                <w:w w:val="94"/>
              </w:rPr>
              <w:t>27,520</w:t>
            </w:r>
          </w:p>
        </w:tc>
      </w:tr>
    </w:tbl>
    <w:p>
      <w:pPr>
        <w:spacing w:after="0" w:line="96" w:lineRule="exact"/>
        <w:rPr>
          <w:sz w:val="20"/>
          <w:szCs w:val="20"/>
          <w:color w:val="auto"/>
        </w:rPr>
      </w:pPr>
    </w:p>
    <w:p>
      <w:pPr>
        <w:ind w:left="1280" w:hanging="379"/>
        <w:spacing w:after="0"/>
        <w:tabs>
          <w:tab w:leader="none" w:pos="1280" w:val="left"/>
        </w:tabs>
        <w:numPr>
          <w:ilvl w:val="0"/>
          <w:numId w:val="80"/>
        </w:numPr>
        <w:rPr>
          <w:rFonts w:ascii="Arial" w:cs="Arial" w:eastAsia="Arial" w:hAnsi="Arial"/>
          <w:sz w:val="12"/>
          <w:szCs w:val="12"/>
          <w:color w:val="1A475F"/>
        </w:rPr>
      </w:pPr>
      <w:r>
        <w:rPr>
          <w:rFonts w:ascii="Arial" w:cs="Arial" w:eastAsia="Arial" w:hAnsi="Arial"/>
          <w:sz w:val="12"/>
          <w:szCs w:val="12"/>
          <w:color w:val="1A475F"/>
        </w:rPr>
        <w:t>Represents the average year-end fair value for equity awards to our Non-PEO NEOs. No awards vested in the year they were granted.</w:t>
      </w:r>
    </w:p>
    <w:p>
      <w:pPr>
        <w:spacing w:after="0" w:line="12" w:lineRule="exact"/>
        <w:rPr>
          <w:rFonts w:ascii="Arial" w:cs="Arial" w:eastAsia="Arial" w:hAnsi="Arial"/>
          <w:sz w:val="12"/>
          <w:szCs w:val="12"/>
          <w:color w:val="1A475F"/>
        </w:rPr>
      </w:pPr>
    </w:p>
    <w:p>
      <w:pPr>
        <w:ind w:left="1280" w:right="40" w:hanging="379"/>
        <w:spacing w:after="0" w:line="246" w:lineRule="auto"/>
        <w:tabs>
          <w:tab w:leader="none" w:pos="1280" w:val="left"/>
        </w:tabs>
        <w:numPr>
          <w:ilvl w:val="0"/>
          <w:numId w:val="80"/>
        </w:numPr>
        <w:rPr>
          <w:rFonts w:ascii="Arial" w:cs="Arial" w:eastAsia="Arial" w:hAnsi="Arial"/>
          <w:sz w:val="12"/>
          <w:szCs w:val="12"/>
          <w:color w:val="1A475F"/>
        </w:rPr>
      </w:pPr>
      <w:r>
        <w:rPr>
          <w:rFonts w:ascii="Arial" w:cs="Arial" w:eastAsia="Arial" w:hAnsi="Arial"/>
          <w:sz w:val="12"/>
          <w:szCs w:val="12"/>
          <w:color w:val="1A475F"/>
        </w:rPr>
        <w:t>Stock option fair values are calculated based on the Black-Scholes option pricing model. The stock option fair values, the purchased restricted stock fair values, the PRSU fair values and the RSU fair values are calculated using the stock price as of the applicable measurement date. The change in fair value is calculated using the fair value as of the prior year-end and as of each measurement date in the applicable covered year. The application of the underlying assumptions used in calculating the fair value of the stock option awards did not differ in any material respect from that used to calculate the grant date fair value of the awards as reported in the “Summary Compensation Table” for the applicable year.</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Relationship between Pay and Performance</w:t>
      </w:r>
    </w:p>
    <w:p>
      <w:pPr>
        <w:spacing w:after="0" w:line="94" w:lineRule="exact"/>
        <w:rPr>
          <w:sz w:val="20"/>
          <w:szCs w:val="20"/>
          <w:color w:val="auto"/>
        </w:rPr>
      </w:pPr>
    </w:p>
    <w:p>
      <w:pPr>
        <w:ind w:left="900" w:firstLine="756"/>
        <w:spacing w:after="0" w:line="247" w:lineRule="auto"/>
        <w:rPr>
          <w:sz w:val="20"/>
          <w:szCs w:val="20"/>
          <w:color w:val="auto"/>
        </w:rPr>
      </w:pPr>
      <w:r>
        <w:rPr>
          <w:rFonts w:ascii="Arial" w:cs="Arial" w:eastAsia="Arial" w:hAnsi="Arial"/>
          <w:sz w:val="15"/>
          <w:szCs w:val="15"/>
          <w:color w:val="1A475F"/>
        </w:rPr>
        <w:t>Below are graphs showing the relationship between “compensation actually paid” or “CAP” to our PEO and CAP to our Non-PEO NEOs in 2021, 2022, 2023, 2024 and 2025 and to (1) Total Shareholder Return of both the Company and the Russell Midcap Growth Index, (2) the Company’s Net Income, and (3) the Company’s Adjusted EBITDA. CAP, as calculated in accordance with applicable SEC rules, reflects adjusted values for unvested and vested equity awards for the years shown in the table based on year-end or vest date stock prices, as applicable, and various accounting valuation assumptions. CAP also fluctuates due to changes in the price of the Company’s common stock. Accordingly, CAP does not reflect actual amounts paid. For a discussion of how our Compensation Committee assessed the Company’s performance and our NEOs’ pay each year, see the “Compensation Discussion and Analysis” in this Proxy Statement and in the Proxy Statements for 2021 through 2025.</w:t>
      </w:r>
    </w:p>
    <w:p>
      <w:pPr>
        <w:spacing w:after="0" w:line="152" w:lineRule="exact"/>
        <w:rPr>
          <w:sz w:val="20"/>
          <w:szCs w:val="20"/>
          <w:color w:val="auto"/>
        </w:rPr>
      </w:pPr>
    </w:p>
    <w:p>
      <w:pPr>
        <w:ind w:left="900" w:right="40" w:firstLine="756"/>
        <w:spacing w:after="0" w:line="248" w:lineRule="auto"/>
        <w:rPr>
          <w:sz w:val="20"/>
          <w:szCs w:val="20"/>
          <w:color w:val="auto"/>
        </w:rPr>
      </w:pPr>
      <w:r>
        <w:rPr>
          <w:rFonts w:ascii="Arial" w:cs="Arial" w:eastAsia="Arial" w:hAnsi="Arial"/>
          <w:sz w:val="15"/>
          <w:szCs w:val="15"/>
          <w:b w:val="1"/>
          <w:bCs w:val="1"/>
          <w:color w:val="1A475F"/>
        </w:rPr>
        <w:t xml:space="preserve">Relationship between Pay and Total Shareholder Return. </w:t>
      </w:r>
      <w:r>
        <w:rPr>
          <w:rFonts w:ascii="Arial" w:cs="Arial" w:eastAsia="Arial" w:hAnsi="Arial"/>
          <w:sz w:val="15"/>
          <w:szCs w:val="15"/>
          <w:color w:val="1A475F"/>
        </w:rPr>
        <w:t>While the Company does not utilize total shareholder return as a</w:t>
      </w:r>
      <w:r>
        <w:rPr>
          <w:rFonts w:ascii="Arial" w:cs="Arial" w:eastAsia="Arial" w:hAnsi="Arial"/>
          <w:sz w:val="15"/>
          <w:szCs w:val="15"/>
          <w:b w:val="1"/>
          <w:bCs w:val="1"/>
          <w:color w:val="1A475F"/>
        </w:rPr>
        <w:t xml:space="preserve"> </w:t>
      </w:r>
      <w:r>
        <w:rPr>
          <w:rFonts w:ascii="Arial" w:cs="Arial" w:eastAsia="Arial" w:hAnsi="Arial"/>
          <w:sz w:val="15"/>
          <w:szCs w:val="15"/>
          <w:color w:val="1A475F"/>
        </w:rPr>
        <w:t>metric in any of its compensation programs, the below graph demonstrates the relationship between CAP and the total shareholder return of both the Company and the Russell Midcap Growth Index. Given the emphasis in our executive compensation program on long-term equity incentive awards, which value is tied to our stock price, we believe that the CAP values are closely aligned with our stock price performance from 2021 and 2022, reflects the increase in our stock price for 2023 and 2024, and aligns with the decrease our stock price in 2025. For each year shown in the graph below, more than half of the target compensation of our NEOs is in the form of long-term equity incentive awards, as described in the “Compensation Disclosure and Analysis” section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122555</wp:posOffset>
            </wp:positionV>
            <wp:extent cx="3829685" cy="2308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29685" cy="2308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54</w:t>
        <w:tab/>
        <w:t>|    Bright Horizons </w:t>
      </w:r>
    </w:p>
    <w:p>
      <w:pPr>
        <w:sectPr>
          <w:pgSz w:w="11900" w:h="16838" w:orient="portrait"/>
          <w:cols w:equalWidth="0" w:num="1">
            <w:col w:w="10340"/>
          </w:cols>
          <w:pgMar w:left="320" w:top="434" w:right="1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900" w:firstLine="756"/>
        <w:spacing w:after="0" w:line="248" w:lineRule="auto"/>
        <w:rPr>
          <w:sz w:val="20"/>
          <w:szCs w:val="20"/>
          <w:color w:val="auto"/>
        </w:rPr>
      </w:pPr>
      <w:r>
        <w:rPr>
          <w:rFonts w:ascii="Arial" w:cs="Arial" w:eastAsia="Arial" w:hAnsi="Arial"/>
          <w:sz w:val="15"/>
          <w:szCs w:val="15"/>
          <w:b w:val="1"/>
          <w:bCs w:val="1"/>
          <w:color w:val="1A475F"/>
        </w:rPr>
        <w:t xml:space="preserve">Relationship between Pay and Net Income. </w:t>
      </w:r>
      <w:r>
        <w:rPr>
          <w:rFonts w:ascii="Arial" w:cs="Arial" w:eastAsia="Arial" w:hAnsi="Arial"/>
          <w:sz w:val="15"/>
          <w:szCs w:val="15"/>
          <w:color w:val="1A475F"/>
        </w:rPr>
        <w:t>While the Company does not utilize Net Income as a metric in any of its</w:t>
      </w:r>
      <w:r>
        <w:rPr>
          <w:rFonts w:ascii="Arial" w:cs="Arial" w:eastAsia="Arial" w:hAnsi="Arial"/>
          <w:sz w:val="15"/>
          <w:szCs w:val="15"/>
          <w:b w:val="1"/>
          <w:bCs w:val="1"/>
          <w:color w:val="1A475F"/>
        </w:rPr>
        <w:t xml:space="preserve"> </w:t>
      </w:r>
      <w:r>
        <w:rPr>
          <w:rFonts w:ascii="Arial" w:cs="Arial" w:eastAsia="Arial" w:hAnsi="Arial"/>
          <w:sz w:val="15"/>
          <w:szCs w:val="15"/>
          <w:color w:val="1A475F"/>
        </w:rPr>
        <w:t>compensation programs, the below graph demonstrates the relationship between CAP and the Company’s Net Income. The improvement in our Net Income from 2021 through 2023 does not directly align with our CAP outcomes as the stock price impact on CAP may or may not correlate to Net Income. Net Income and CAP tracked closely in 2024, but in 2025, Net Income increased while CAP decreased due to a decrease in stock price impacting the value of certain long-term incentive awards. In 2021 and 2022, the de minimis or negative CAP for both the PEO and our Non-PEO NEOs was primarily due to the decline in the price of the Company’s common stock and the mix of compensation comprised of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1649095</wp:posOffset>
            </wp:positionH>
            <wp:positionV relativeFrom="paragraph">
              <wp:posOffset>122555</wp:posOffset>
            </wp:positionV>
            <wp:extent cx="3844290" cy="22199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442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00" w:right="20" w:firstLine="756"/>
        <w:spacing w:after="0" w:line="246" w:lineRule="auto"/>
        <w:rPr>
          <w:sz w:val="20"/>
          <w:szCs w:val="20"/>
          <w:color w:val="auto"/>
        </w:rPr>
      </w:pPr>
      <w:r>
        <w:rPr>
          <w:rFonts w:ascii="Arial" w:cs="Arial" w:eastAsia="Arial" w:hAnsi="Arial"/>
          <w:sz w:val="15"/>
          <w:szCs w:val="15"/>
          <w:b w:val="1"/>
          <w:bCs w:val="1"/>
          <w:color w:val="1A475F"/>
        </w:rPr>
        <w:t xml:space="preserve">Relationship between Pay and Adjusted EBITDA. </w:t>
      </w:r>
      <w:r>
        <w:rPr>
          <w:rFonts w:ascii="Arial" w:cs="Arial" w:eastAsia="Arial" w:hAnsi="Arial"/>
          <w:sz w:val="15"/>
          <w:szCs w:val="15"/>
          <w:color w:val="1A475F"/>
        </w:rPr>
        <w:t>The below graph demonstrates the relationship between CAP and the</w:t>
      </w:r>
      <w:r>
        <w:rPr>
          <w:rFonts w:ascii="Arial" w:cs="Arial" w:eastAsia="Arial" w:hAnsi="Arial"/>
          <w:sz w:val="15"/>
          <w:szCs w:val="15"/>
          <w:b w:val="1"/>
          <w:bCs w:val="1"/>
          <w:color w:val="1A475F"/>
        </w:rPr>
        <w:t xml:space="preserve"> </w:t>
      </w:r>
      <w:r>
        <w:rPr>
          <w:rFonts w:ascii="Arial" w:cs="Arial" w:eastAsia="Arial" w:hAnsi="Arial"/>
          <w:sz w:val="15"/>
          <w:szCs w:val="15"/>
          <w:color w:val="1A475F"/>
        </w:rPr>
        <w:t>Company’s Adjusted EBITDA. The Company has selected Adjusted EBITDA as its Company-Selected Measure. The Company uses Adjusted EBITDA as one corporate performance measure for its annual cash bonus program and, starting in 2023, the vesting of PRSUs is tied to a three-year average of Adjusted EBITDA annual growth. As a result, the improvement in our Adjusted EBITDA in 2023 and in 2024 generally aligns with our CAP outcomes. However, our year-over-year CAP outcomes do not always align directionally with the year-over-year Adjusted EBITDA outcomes as more than half of the target compensation of our NEOs is in the form of long-term equity incentives awards and are directly tied to our stock price. In 2021 and 2022, the de minimis or negative CAP for both the PEO and our Non-PEO NEOs was primarily due to the decline in the price of the Company’s common stock. In 2025, the CAP for both the PEO and our Non-PEO NEOs decreased due in part to a decrease in stock price impacting the value of certain long-term equity incentive awards, while the Company’s Adjusted EBITDA increased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122555</wp:posOffset>
            </wp:positionV>
            <wp:extent cx="3829685" cy="22269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29685" cy="2226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55</w:t>
      </w:r>
    </w:p>
    <w:p>
      <w:pPr>
        <w:sectPr>
          <w:pgSz w:w="11900" w:h="16838" w:orient="portrait"/>
          <w:cols w:equalWidth="0" w:num="1">
            <w:col w:w="10340"/>
          </w:cols>
          <w:pgMar w:left="320" w:top="434" w:right="1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Pay versus Performance: Most Important Measures</w:t>
      </w:r>
    </w:p>
    <w:p>
      <w:pPr>
        <w:spacing w:after="0" w:line="94" w:lineRule="exact"/>
        <w:rPr>
          <w:sz w:val="20"/>
          <w:szCs w:val="20"/>
          <w:color w:val="auto"/>
        </w:rPr>
      </w:pPr>
    </w:p>
    <w:p>
      <w:pPr>
        <w:ind w:left="900" w:right="520" w:firstLine="756"/>
        <w:spacing w:after="0" w:line="261" w:lineRule="auto"/>
        <w:rPr>
          <w:sz w:val="20"/>
          <w:szCs w:val="20"/>
          <w:color w:val="auto"/>
        </w:rPr>
      </w:pPr>
      <w:r>
        <w:rPr>
          <w:rFonts w:ascii="Arial" w:cs="Arial" w:eastAsia="Arial" w:hAnsi="Arial"/>
          <w:sz w:val="15"/>
          <w:szCs w:val="15"/>
          <w:color w:val="1A475F"/>
        </w:rPr>
        <w:t>The following table identifies the three most important financial performance measures to link the CAP to our PEO and Non-PEO NEOs in 2025, calculated in accordance with applicable SEC regulations, to Company performance. The measures most important in determining pay during 2025 were those most heavily weighted in our annual bonus programs.</w:t>
      </w:r>
    </w:p>
    <w:p>
      <w:pPr>
        <w:spacing w:after="0" w:line="173" w:lineRule="exact"/>
        <w:rPr>
          <w:sz w:val="20"/>
          <w:szCs w:val="20"/>
          <w:color w:val="auto"/>
        </w:rPr>
      </w:pPr>
    </w:p>
    <w:tbl>
      <w:tblPr>
        <w:tblLayout w:type="fixed"/>
        <w:tblInd w:w="900" w:type="dxa"/>
        <w:tblCellMar>
          <w:top w:w="0" w:type="dxa"/>
          <w:left w:w="0" w:type="dxa"/>
          <w:bottom w:w="0" w:type="dxa"/>
          <w:right w:w="0" w:type="dxa"/>
        </w:tblCellMar>
      </w:tblPr>
      <w:tr>
        <w:trPr>
          <w:trHeight w:val="158"/>
        </w:trPr>
        <w:tc>
          <w:tcPr>
            <w:tcW w:w="1820" w:type="dxa"/>
            <w:vAlign w:val="bottom"/>
            <w:gridSpan w:val="2"/>
          </w:tcPr>
          <w:p>
            <w:pPr>
              <w:spacing w:after="0"/>
              <w:rPr>
                <w:sz w:val="20"/>
                <w:szCs w:val="20"/>
                <w:color w:val="auto"/>
              </w:rPr>
            </w:pPr>
            <w:r>
              <w:rPr>
                <w:rFonts w:ascii="Arial" w:cs="Arial" w:eastAsia="Arial" w:hAnsi="Arial"/>
                <w:sz w:val="12"/>
                <w:szCs w:val="12"/>
                <w:b w:val="1"/>
                <w:bCs w:val="1"/>
                <w:color w:val="1A475F"/>
              </w:rPr>
              <w:t>Measure</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1A475F"/>
              </w:rPr>
              <w:t>Nature</w:t>
            </w:r>
          </w:p>
        </w:tc>
        <w:tc>
          <w:tcPr>
            <w:tcW w:w="5860" w:type="dxa"/>
            <w:vAlign w:val="bottom"/>
          </w:tcPr>
          <w:p>
            <w:pPr>
              <w:spacing w:after="0"/>
              <w:rPr>
                <w:sz w:val="20"/>
                <w:szCs w:val="20"/>
                <w:color w:val="auto"/>
              </w:rPr>
            </w:pPr>
            <w:r>
              <w:rPr>
                <w:rFonts w:ascii="Arial" w:cs="Arial" w:eastAsia="Arial" w:hAnsi="Arial"/>
                <w:sz w:val="12"/>
                <w:szCs w:val="12"/>
                <w:b w:val="1"/>
                <w:bCs w:val="1"/>
                <w:color w:val="1A475F"/>
              </w:rPr>
              <w:t>Explanation</w:t>
            </w:r>
          </w:p>
        </w:tc>
      </w:tr>
      <w:tr>
        <w:trPr>
          <w:trHeight w:val="150"/>
        </w:trPr>
        <w:tc>
          <w:tcPr>
            <w:tcW w:w="20" w:type="dxa"/>
            <w:vAlign w:val="bottom"/>
          </w:tcPr>
          <w:p>
            <w:pPr>
              <w:spacing w:after="0"/>
              <w:rPr>
                <w:sz w:val="13"/>
                <w:szCs w:val="13"/>
                <w:color w:val="auto"/>
              </w:rPr>
            </w:pPr>
          </w:p>
        </w:tc>
        <w:tc>
          <w:tcPr>
            <w:tcW w:w="1800" w:type="dxa"/>
            <w:vAlign w:val="bottom"/>
            <w:tcBorders>
              <w:top w:val="single" w:sz="8" w:color="1A475F"/>
            </w:tcBorders>
          </w:tcPr>
          <w:p>
            <w:pPr>
              <w:spacing w:after="0" w:line="151" w:lineRule="exact"/>
              <w:rPr>
                <w:sz w:val="20"/>
                <w:szCs w:val="20"/>
                <w:color w:val="auto"/>
              </w:rPr>
            </w:pPr>
            <w:r>
              <w:rPr>
                <w:rFonts w:ascii="Arial" w:cs="Arial" w:eastAsia="Arial" w:hAnsi="Arial"/>
                <w:sz w:val="15"/>
                <w:szCs w:val="15"/>
                <w:b w:val="1"/>
                <w:bCs w:val="1"/>
                <w:color w:val="1A475F"/>
              </w:rPr>
              <w:t>Adjusted EBITDA</w:t>
            </w:r>
            <w:r>
              <w:rPr>
                <w:rFonts w:ascii="Arial" w:cs="Arial" w:eastAsia="Arial" w:hAnsi="Arial"/>
                <w:sz w:val="9"/>
                <w:szCs w:val="9"/>
                <w:b w:val="1"/>
                <w:bCs w:val="1"/>
                <w:color w:val="1A475F"/>
              </w:rPr>
              <w:t>(*)</w:t>
            </w:r>
          </w:p>
        </w:tc>
        <w:tc>
          <w:tcPr>
            <w:tcW w:w="100" w:type="dxa"/>
            <w:vAlign w:val="bottom"/>
          </w:tcPr>
          <w:p>
            <w:pPr>
              <w:spacing w:after="0"/>
              <w:rPr>
                <w:sz w:val="13"/>
                <w:szCs w:val="13"/>
                <w:color w:val="auto"/>
              </w:rPr>
            </w:pPr>
          </w:p>
        </w:tc>
        <w:tc>
          <w:tcPr>
            <w:tcW w:w="1600" w:type="dxa"/>
            <w:vAlign w:val="bottom"/>
            <w:tcBorders>
              <w:top w:val="single" w:sz="8" w:color="1A475F"/>
            </w:tcBorders>
          </w:tcPr>
          <w:p>
            <w:pPr>
              <w:spacing w:after="0" w:line="151" w:lineRule="exact"/>
              <w:rPr>
                <w:sz w:val="20"/>
                <w:szCs w:val="20"/>
                <w:color w:val="auto"/>
              </w:rPr>
            </w:pPr>
            <w:r>
              <w:rPr>
                <w:rFonts w:ascii="Arial" w:cs="Arial" w:eastAsia="Arial" w:hAnsi="Arial"/>
                <w:sz w:val="15"/>
                <w:szCs w:val="15"/>
                <w:color w:val="1A475F"/>
              </w:rPr>
              <w:t>Financial Measure</w:t>
            </w:r>
          </w:p>
        </w:tc>
        <w:tc>
          <w:tcPr>
            <w:tcW w:w="80" w:type="dxa"/>
            <w:vAlign w:val="bottom"/>
          </w:tcPr>
          <w:p>
            <w:pPr>
              <w:spacing w:after="0"/>
              <w:rPr>
                <w:sz w:val="13"/>
                <w:szCs w:val="13"/>
                <w:color w:val="auto"/>
              </w:rPr>
            </w:pPr>
          </w:p>
        </w:tc>
        <w:tc>
          <w:tcPr>
            <w:tcW w:w="5860" w:type="dxa"/>
            <w:vAlign w:val="bottom"/>
            <w:tcBorders>
              <w:top w:val="single" w:sz="8" w:color="1A475F"/>
            </w:tcBorders>
          </w:tcPr>
          <w:p>
            <w:pPr>
              <w:spacing w:after="0" w:line="151" w:lineRule="exact"/>
              <w:rPr>
                <w:sz w:val="20"/>
                <w:szCs w:val="20"/>
                <w:color w:val="auto"/>
              </w:rPr>
            </w:pPr>
            <w:r>
              <w:rPr>
                <w:rFonts w:ascii="Arial" w:cs="Arial" w:eastAsia="Arial" w:hAnsi="Arial"/>
                <w:sz w:val="15"/>
                <w:szCs w:val="15"/>
                <w:color w:val="1A475F"/>
              </w:rPr>
              <w:t>A non-GAAP financial measure that consists of adjusted earnings before interest,</w:t>
            </w: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5"/>
                <w:szCs w:val="15"/>
                <w:color w:val="1A475F"/>
              </w:rPr>
              <w:t>taxes, depreciation and amortization and other non-recurring items reflects the</w:t>
            </w: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5"/>
                <w:szCs w:val="15"/>
                <w:color w:val="1A475F"/>
              </w:rPr>
              <w:t>Company’s cash flow generation on a consistent basis and is a strong overall</w:t>
            </w: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5"/>
                <w:szCs w:val="15"/>
                <w:color w:val="1A475F"/>
              </w:rPr>
              <w:t>indicator of the Company’s operational performance.</w:t>
            </w:r>
          </w:p>
        </w:tc>
      </w:tr>
      <w:tr>
        <w:trPr>
          <w:trHeight w:val="192"/>
        </w:trPr>
        <w:tc>
          <w:tcPr>
            <w:tcW w:w="1820" w:type="dxa"/>
            <w:vAlign w:val="bottom"/>
            <w:gridSpan w:val="2"/>
          </w:tcPr>
          <w:p>
            <w:pPr>
              <w:spacing w:after="0"/>
              <w:rPr>
                <w:sz w:val="20"/>
                <w:szCs w:val="20"/>
                <w:color w:val="auto"/>
              </w:rPr>
            </w:pPr>
            <w:r>
              <w:rPr>
                <w:rFonts w:ascii="Arial" w:cs="Arial" w:eastAsia="Arial" w:hAnsi="Arial"/>
                <w:sz w:val="15"/>
                <w:szCs w:val="15"/>
                <w:b w:val="1"/>
                <w:bCs w:val="1"/>
                <w:color w:val="1A475F"/>
              </w:rPr>
              <w:t>Adjusted EPS</w:t>
            </w:r>
            <w:r>
              <w:rPr>
                <w:rFonts w:ascii="Arial" w:cs="Arial" w:eastAsia="Arial" w:hAnsi="Arial"/>
                <w:sz w:val="9"/>
                <w:szCs w:val="9"/>
                <w:b w:val="1"/>
                <w:bCs w:val="1"/>
                <w:color w:val="1A475F"/>
              </w:rPr>
              <w:t>(*)</w:t>
            </w:r>
          </w:p>
        </w:tc>
        <w:tc>
          <w:tcPr>
            <w:tcW w:w="1780" w:type="dxa"/>
            <w:vAlign w:val="bottom"/>
            <w:gridSpan w:val="3"/>
          </w:tcPr>
          <w:p>
            <w:pPr>
              <w:ind w:left="100"/>
              <w:spacing w:after="0"/>
              <w:rPr>
                <w:sz w:val="20"/>
                <w:szCs w:val="20"/>
                <w:color w:val="auto"/>
              </w:rPr>
            </w:pPr>
            <w:r>
              <w:rPr>
                <w:rFonts w:ascii="Arial" w:cs="Arial" w:eastAsia="Arial" w:hAnsi="Arial"/>
                <w:sz w:val="15"/>
                <w:szCs w:val="15"/>
                <w:color w:val="1A475F"/>
              </w:rPr>
              <w:t>Financial Measure</w:t>
            </w:r>
          </w:p>
        </w:tc>
        <w:tc>
          <w:tcPr>
            <w:tcW w:w="5860" w:type="dxa"/>
            <w:vAlign w:val="bottom"/>
          </w:tcPr>
          <w:p>
            <w:pPr>
              <w:spacing w:after="0"/>
              <w:rPr>
                <w:sz w:val="20"/>
                <w:szCs w:val="20"/>
                <w:color w:val="auto"/>
              </w:rPr>
            </w:pPr>
            <w:r>
              <w:rPr>
                <w:rFonts w:ascii="Arial" w:cs="Arial" w:eastAsia="Arial" w:hAnsi="Arial"/>
                <w:sz w:val="15"/>
                <w:szCs w:val="15"/>
                <w:color w:val="1A475F"/>
              </w:rPr>
              <w:t>A non-GAAP financial measure that consists of diluted adjusted earnings per</w:t>
            </w: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5"/>
                <w:szCs w:val="15"/>
                <w:color w:val="1A475F"/>
              </w:rPr>
              <w:t>common share reflects the Company’s overall operating and financial achievements</w:t>
            </w: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5"/>
                <w:szCs w:val="15"/>
                <w:color w:val="1A475F"/>
              </w:rPr>
              <w:t>adjusted for the impact of certain non-cash charges and non-recurring transactions.</w:t>
            </w:r>
          </w:p>
        </w:tc>
      </w:tr>
      <w:tr>
        <w:trPr>
          <w:trHeight w:val="228"/>
        </w:trPr>
        <w:tc>
          <w:tcPr>
            <w:tcW w:w="1820" w:type="dxa"/>
            <w:vAlign w:val="bottom"/>
            <w:gridSpan w:val="2"/>
          </w:tcPr>
          <w:p>
            <w:pPr>
              <w:spacing w:after="0"/>
              <w:rPr>
                <w:sz w:val="20"/>
                <w:szCs w:val="20"/>
                <w:color w:val="auto"/>
              </w:rPr>
            </w:pPr>
            <w:r>
              <w:rPr>
                <w:rFonts w:ascii="Arial" w:cs="Arial" w:eastAsia="Arial" w:hAnsi="Arial"/>
                <w:sz w:val="15"/>
                <w:szCs w:val="15"/>
                <w:b w:val="1"/>
                <w:bCs w:val="1"/>
                <w:color w:val="1A475F"/>
              </w:rPr>
              <w:t>Revenue Growth</w:t>
            </w:r>
          </w:p>
        </w:tc>
        <w:tc>
          <w:tcPr>
            <w:tcW w:w="1780" w:type="dxa"/>
            <w:vAlign w:val="bottom"/>
            <w:gridSpan w:val="3"/>
          </w:tcPr>
          <w:p>
            <w:pPr>
              <w:ind w:left="100"/>
              <w:spacing w:after="0"/>
              <w:rPr>
                <w:sz w:val="20"/>
                <w:szCs w:val="20"/>
                <w:color w:val="auto"/>
              </w:rPr>
            </w:pPr>
            <w:r>
              <w:rPr>
                <w:rFonts w:ascii="Arial" w:cs="Arial" w:eastAsia="Arial" w:hAnsi="Arial"/>
                <w:sz w:val="15"/>
                <w:szCs w:val="15"/>
                <w:color w:val="1A475F"/>
              </w:rPr>
              <w:t>Financial Measure</w:t>
            </w:r>
          </w:p>
        </w:tc>
        <w:tc>
          <w:tcPr>
            <w:tcW w:w="5860" w:type="dxa"/>
            <w:vAlign w:val="bottom"/>
          </w:tcPr>
          <w:p>
            <w:pPr>
              <w:spacing w:after="0"/>
              <w:rPr>
                <w:sz w:val="20"/>
                <w:szCs w:val="20"/>
                <w:color w:val="auto"/>
              </w:rPr>
            </w:pPr>
            <w:r>
              <w:rPr>
                <w:rFonts w:ascii="Arial" w:cs="Arial" w:eastAsia="Arial" w:hAnsi="Arial"/>
                <w:sz w:val="15"/>
                <w:szCs w:val="15"/>
                <w:color w:val="1A475F"/>
              </w:rPr>
              <w:t>A financial measure that consists of our revenue growth year over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59690</wp:posOffset>
            </wp:positionV>
            <wp:extent cx="65405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113" w:lineRule="exact"/>
        <w:rPr>
          <w:sz w:val="20"/>
          <w:szCs w:val="20"/>
          <w:color w:val="auto"/>
        </w:rPr>
      </w:pPr>
    </w:p>
    <w:p>
      <w:pPr>
        <w:ind w:left="1280" w:right="60" w:hanging="379"/>
        <w:spacing w:after="0" w:line="239" w:lineRule="auto"/>
        <w:tabs>
          <w:tab w:leader="none" w:pos="1280" w:val="left"/>
        </w:tabs>
        <w:numPr>
          <w:ilvl w:val="0"/>
          <w:numId w:val="81"/>
        </w:numPr>
        <w:rPr>
          <w:rFonts w:ascii="Arial" w:cs="Arial" w:eastAsia="Arial" w:hAnsi="Arial"/>
          <w:sz w:val="15"/>
          <w:szCs w:val="15"/>
          <w:color w:val="1A475F"/>
          <w:vertAlign w:val="superscript"/>
        </w:rPr>
      </w:pPr>
      <w:r>
        <w:rPr>
          <w:rFonts w:ascii="Arial" w:cs="Arial" w:eastAsia="Arial" w:hAnsi="Arial"/>
          <w:sz w:val="12"/>
          <w:szCs w:val="12"/>
          <w:color w:val="1A475F"/>
        </w:rPr>
        <w:t>For 2025, Adjusted EBITDA represents EBITDA (which is net income, as determined in accordance with GAAP, before interest expense, income tax expense, depreciation and amortization) adjusted to exclude the impact of stock-based compensation expense and non-recurring costs, such as impairment and net lease termination costs, debt refinance costs, and at times, other non-recurring costs, such as transaction costs. We calculate Adjusted EPS based on adjusted net income, which represents net income determined in accordance with GAAP, adjusted to exclude the impact of stock-based compensation expense, amortization, and non-recurring costs, such as impairment and net lease termination costs, debt refinance costs, interest incurred related to a pre-acquisition obligation, and the income tax provision (benefit) thereon, and at times, other non-recurring costs, such as transaction costs, divided by the diluted weighted average number of our common shares. Please see “Item 7. Management’s Discussion and Analysis of Financial Condition—Non-GAAP Financial Measures and Reconciliation” in our 2025 Annual Report for additional information on Adjusted EBITDA and Adjusted EPS (diluted adjusted earnings per common share) and a reconciliation of these non-GAAP financial measures to their respective measures determined under GAAP.</w:t>
      </w:r>
    </w:p>
    <w:p>
      <w:pPr>
        <w:spacing w:after="0" w:line="98"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56</w:t>
        <w:tab/>
        <w:t>|    Bright Horizons </w:t>
      </w:r>
    </w:p>
    <w:p>
      <w:pPr>
        <w:sectPr>
          <w:pgSz w:w="11900" w:h="16838" w:orient="portrait"/>
          <w:cols w:equalWidth="0" w:num="1">
            <w:col w:w="10360"/>
          </w:cols>
          <w:pgMar w:left="320" w:top="433" w:right="12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jc w:val="center"/>
        <w:ind w:right="-879"/>
        <w:spacing w:after="0"/>
        <w:rPr>
          <w:sz w:val="20"/>
          <w:szCs w:val="20"/>
          <w:color w:val="auto"/>
        </w:rPr>
      </w:pPr>
      <w:r>
        <w:rPr>
          <w:rFonts w:ascii="Arial" w:cs="Arial" w:eastAsia="Arial" w:hAnsi="Arial"/>
          <w:sz w:val="15"/>
          <w:szCs w:val="15"/>
          <w:b w:val="1"/>
          <w:bCs w:val="1"/>
          <w:color w:val="1A475F"/>
        </w:rPr>
        <w:t>PROPOSAL 2</w:t>
      </w:r>
    </w:p>
    <w:p>
      <w:pPr>
        <w:spacing w:after="0" w:line="186" w:lineRule="exact"/>
        <w:rPr>
          <w:sz w:val="20"/>
          <w:szCs w:val="20"/>
          <w:color w:val="auto"/>
        </w:rPr>
      </w:pPr>
    </w:p>
    <w:p>
      <w:pPr>
        <w:ind w:left="2900"/>
        <w:spacing w:after="0"/>
        <w:rPr>
          <w:sz w:val="20"/>
          <w:szCs w:val="20"/>
          <w:color w:val="auto"/>
        </w:rPr>
      </w:pPr>
      <w:r>
        <w:rPr>
          <w:rFonts w:ascii="Arial" w:cs="Arial" w:eastAsia="Arial" w:hAnsi="Arial"/>
          <w:sz w:val="15"/>
          <w:szCs w:val="15"/>
          <w:b w:val="1"/>
          <w:bCs w:val="1"/>
          <w:color w:val="1A475F"/>
        </w:rPr>
        <w:t>ADVISORY VOTE ON NAMED EXECUTIVE OFFICER 2025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97575" cy="146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00" w:right="20" w:firstLine="756"/>
        <w:spacing w:after="0" w:line="251" w:lineRule="auto"/>
        <w:rPr>
          <w:sz w:val="20"/>
          <w:szCs w:val="20"/>
          <w:color w:val="auto"/>
        </w:rPr>
      </w:pPr>
      <w:r>
        <w:rPr>
          <w:rFonts w:ascii="Arial" w:cs="Arial" w:eastAsia="Arial" w:hAnsi="Arial"/>
          <w:sz w:val="15"/>
          <w:szCs w:val="15"/>
          <w:color w:val="1A475F"/>
        </w:rPr>
        <w:t>The Company is providing its shareholders with the opportunity to cast an advisory vote on the compensation of the Company’s NEOs (“say-on-pay”) in accordance with the requirements of Section 14A of the Exchange Act and the related SEC rules. This vote is not intended to address any specific item of compensation, but rather the overall compensation of our NEOs and the Company’s compensation philosophy, policies, and practices described in this Proxy Statement. The “Compensation Discussion and Analysis” included in this Proxy Statement describes our executive compensation program and the compensation of our NEOs for 2025.</w:t>
      </w:r>
    </w:p>
    <w:p>
      <w:pPr>
        <w:spacing w:after="0" w:line="57" w:lineRule="exact"/>
        <w:rPr>
          <w:sz w:val="20"/>
          <w:szCs w:val="20"/>
          <w:color w:val="auto"/>
        </w:rPr>
      </w:pPr>
    </w:p>
    <w:p>
      <w:pPr>
        <w:ind w:left="900" w:right="140" w:firstLine="756"/>
        <w:spacing w:after="0" w:line="250" w:lineRule="auto"/>
        <w:rPr>
          <w:sz w:val="20"/>
          <w:szCs w:val="20"/>
          <w:color w:val="auto"/>
        </w:rPr>
      </w:pPr>
      <w:r>
        <w:rPr>
          <w:rFonts w:ascii="Arial" w:cs="Arial" w:eastAsia="Arial" w:hAnsi="Arial"/>
          <w:sz w:val="15"/>
          <w:szCs w:val="15"/>
          <w:color w:val="1A475F"/>
        </w:rPr>
        <w:t xml:space="preserve">At our 2025 Annual Meeting, the advisory vote on executive compensation received approximately </w:t>
      </w:r>
      <w:r>
        <w:rPr>
          <w:rFonts w:ascii="Arial" w:cs="Arial" w:eastAsia="Arial" w:hAnsi="Arial"/>
          <w:sz w:val="15"/>
          <w:szCs w:val="15"/>
          <w:b w:val="1"/>
          <w:bCs w:val="1"/>
          <w:color w:val="1A475F"/>
        </w:rPr>
        <w:t>94.2%</w:t>
      </w:r>
      <w:r>
        <w:rPr>
          <w:rFonts w:ascii="Arial" w:cs="Arial" w:eastAsia="Arial" w:hAnsi="Arial"/>
          <w:sz w:val="15"/>
          <w:szCs w:val="15"/>
          <w:color w:val="1A475F"/>
        </w:rPr>
        <w:t xml:space="preserve"> support from shareholders, demonstrating strong support of the Company’s executive compensation program. At our 2021 Annual Meeting, we asked shareholders to vote on the frequency of our say-on-pay vote and shareholders recommended, on an advisory basis, that future advisory votes on the compensation of the Company’s NEOs be held annually. We intend to hold the next advisory vote to approve the compensation of our NEOs at our 2027 Annual Meeting and the next advisory vote on the frequency of say-on-pay votes at our 2027 Annual Meeting.</w:t>
      </w:r>
    </w:p>
    <w:p>
      <w:pPr>
        <w:spacing w:after="0" w:line="238" w:lineRule="exact"/>
        <w:rPr>
          <w:sz w:val="20"/>
          <w:szCs w:val="20"/>
          <w:color w:val="auto"/>
        </w:rPr>
      </w:pPr>
    </w:p>
    <w:p>
      <w:pPr>
        <w:ind w:left="900" w:right="200" w:firstLine="756"/>
        <w:spacing w:after="0" w:line="255" w:lineRule="auto"/>
        <w:rPr>
          <w:sz w:val="20"/>
          <w:szCs w:val="20"/>
          <w:color w:val="auto"/>
        </w:rPr>
      </w:pPr>
      <w:r>
        <w:rPr>
          <w:rFonts w:ascii="Arial" w:cs="Arial" w:eastAsia="Arial" w:hAnsi="Arial"/>
          <w:sz w:val="15"/>
          <w:szCs w:val="15"/>
          <w:color w:val="1A475F"/>
        </w:rPr>
        <w:t>As described in detail in the “Compensation Discussion and Analysis” included herein, our compensation philosophy is to provide appropriate competitive compensation opportunities to our executives with actual pay partially dependent on the achievement of Company performance targets and individual performance objectives in support of our business strategy and creation of long-term shareholder value. We have a total compensation approach focused on performance-based incentive compensation that seeks to:</w:t>
      </w:r>
    </w:p>
    <w:p>
      <w:pPr>
        <w:spacing w:after="0" w:line="66" w:lineRule="exact"/>
        <w:rPr>
          <w:sz w:val="20"/>
          <w:szCs w:val="20"/>
          <w:color w:val="auto"/>
        </w:rPr>
      </w:pPr>
    </w:p>
    <w:p>
      <w:pPr>
        <w:ind w:left="1640" w:hanging="368"/>
        <w:spacing w:after="0"/>
        <w:tabs>
          <w:tab w:leader="none" w:pos="1640" w:val="left"/>
        </w:tabs>
        <w:numPr>
          <w:ilvl w:val="0"/>
          <w:numId w:val="82"/>
        </w:numPr>
        <w:rPr>
          <w:rFonts w:ascii="Arial" w:cs="Arial" w:eastAsia="Arial" w:hAnsi="Arial"/>
          <w:sz w:val="15"/>
          <w:szCs w:val="15"/>
          <w:color w:val="1A475F"/>
        </w:rPr>
      </w:pPr>
      <w:r>
        <w:rPr>
          <w:rFonts w:ascii="Arial" w:cs="Arial" w:eastAsia="Arial" w:hAnsi="Arial"/>
          <w:sz w:val="15"/>
          <w:szCs w:val="15"/>
          <w:color w:val="1A475F"/>
        </w:rPr>
        <w:t>Tie compensation to the achievement of Company performance goals.</w:t>
      </w:r>
    </w:p>
    <w:p>
      <w:pPr>
        <w:spacing w:after="0" w:line="105" w:lineRule="exact"/>
        <w:rPr>
          <w:rFonts w:ascii="Arial" w:cs="Arial" w:eastAsia="Arial" w:hAnsi="Arial"/>
          <w:sz w:val="15"/>
          <w:szCs w:val="15"/>
          <w:color w:val="1A475F"/>
        </w:rPr>
      </w:pPr>
    </w:p>
    <w:p>
      <w:pPr>
        <w:ind w:left="1640" w:hanging="368"/>
        <w:spacing w:after="0"/>
        <w:tabs>
          <w:tab w:leader="none" w:pos="1640" w:val="left"/>
        </w:tabs>
        <w:numPr>
          <w:ilvl w:val="0"/>
          <w:numId w:val="82"/>
        </w:numPr>
        <w:rPr>
          <w:rFonts w:ascii="Arial" w:cs="Arial" w:eastAsia="Arial" w:hAnsi="Arial"/>
          <w:sz w:val="15"/>
          <w:szCs w:val="15"/>
          <w:color w:val="1A475F"/>
        </w:rPr>
      </w:pPr>
      <w:r>
        <w:rPr>
          <w:rFonts w:ascii="Arial" w:cs="Arial" w:eastAsia="Arial" w:hAnsi="Arial"/>
          <w:sz w:val="15"/>
          <w:szCs w:val="15"/>
          <w:color w:val="1A475F"/>
        </w:rPr>
        <w:t>Reward individual performance and contribution to our success over the short- and long-term.</w:t>
      </w:r>
    </w:p>
    <w:p>
      <w:pPr>
        <w:spacing w:after="0" w:line="105" w:lineRule="exact"/>
        <w:rPr>
          <w:rFonts w:ascii="Arial" w:cs="Arial" w:eastAsia="Arial" w:hAnsi="Arial"/>
          <w:sz w:val="15"/>
          <w:szCs w:val="15"/>
          <w:color w:val="1A475F"/>
        </w:rPr>
      </w:pPr>
    </w:p>
    <w:p>
      <w:pPr>
        <w:ind w:left="1640" w:right="120" w:hanging="368"/>
        <w:spacing w:after="0" w:line="282" w:lineRule="auto"/>
        <w:tabs>
          <w:tab w:leader="none" w:pos="1640" w:val="left"/>
        </w:tabs>
        <w:numPr>
          <w:ilvl w:val="0"/>
          <w:numId w:val="82"/>
        </w:numPr>
        <w:rPr>
          <w:rFonts w:ascii="Arial" w:cs="Arial" w:eastAsia="Arial" w:hAnsi="Arial"/>
          <w:sz w:val="15"/>
          <w:szCs w:val="15"/>
          <w:color w:val="1A475F"/>
        </w:rPr>
      </w:pPr>
      <w:r>
        <w:rPr>
          <w:rFonts w:ascii="Arial" w:cs="Arial" w:eastAsia="Arial" w:hAnsi="Arial"/>
          <w:sz w:val="15"/>
          <w:szCs w:val="15"/>
          <w:color w:val="1A475F"/>
        </w:rPr>
        <w:t>Align the interests of our executive officers with those of our shareholders through delivering a significant part of our compensation program in the form of equity-based awards, including starting in 2026, 50% tied to performance-based vesting.</w:t>
      </w:r>
    </w:p>
    <w:p>
      <w:pPr>
        <w:spacing w:after="0" w:line="35" w:lineRule="exact"/>
        <w:rPr>
          <w:sz w:val="20"/>
          <w:szCs w:val="20"/>
          <w:color w:val="auto"/>
        </w:rPr>
      </w:pPr>
    </w:p>
    <w:p>
      <w:pPr>
        <w:ind w:left="900" w:right="320" w:firstLine="756"/>
        <w:spacing w:after="0" w:line="261" w:lineRule="auto"/>
        <w:rPr>
          <w:sz w:val="20"/>
          <w:szCs w:val="20"/>
          <w:color w:val="auto"/>
        </w:rPr>
      </w:pPr>
      <w:r>
        <w:rPr>
          <w:rFonts w:ascii="Arial" w:cs="Arial" w:eastAsia="Arial" w:hAnsi="Arial"/>
          <w:sz w:val="15"/>
          <w:szCs w:val="15"/>
          <w:color w:val="1A475F"/>
        </w:rPr>
        <w:t>In addition, as we described in the “Compensation Discussion and Analysis” and elsewhere in this Proxy Statement, in approving compensation for our NEOs, the Compensation Committee considers the financial performance of the Company and aligns compensation to performance by including performance-based equity awards to the forms of awards granted to the Company’s NEOs.</w:t>
      </w:r>
    </w:p>
    <w:p>
      <w:pPr>
        <w:spacing w:after="0" w:line="51" w:lineRule="exact"/>
        <w:rPr>
          <w:sz w:val="20"/>
          <w:szCs w:val="20"/>
          <w:color w:val="auto"/>
        </w:rPr>
      </w:pPr>
    </w:p>
    <w:p>
      <w:pPr>
        <w:ind w:left="900" w:right="40" w:firstLine="756"/>
        <w:spacing w:after="0" w:line="261" w:lineRule="auto"/>
        <w:rPr>
          <w:sz w:val="20"/>
          <w:szCs w:val="20"/>
          <w:color w:val="auto"/>
        </w:rPr>
      </w:pPr>
      <w:r>
        <w:rPr>
          <w:rFonts w:ascii="Arial" w:cs="Arial" w:eastAsia="Arial" w:hAnsi="Arial"/>
          <w:sz w:val="15"/>
          <w:szCs w:val="15"/>
          <w:color w:val="1A475F"/>
        </w:rPr>
        <w:t>In addition, the Company employs a number of compensation and governance practices including (1) majority voting, (2) a clawback policy, (3) caps on annual bonuses tied to Company performance, and (4) stock ownership guidelines for our directors, our Chief Executive Officer and our NEOs.</w:t>
      </w:r>
    </w:p>
    <w:p>
      <w:pPr>
        <w:spacing w:after="0" w:line="51" w:lineRule="exact"/>
        <w:rPr>
          <w:sz w:val="20"/>
          <w:szCs w:val="20"/>
          <w:color w:val="auto"/>
        </w:rPr>
      </w:pPr>
    </w:p>
    <w:p>
      <w:pPr>
        <w:ind w:left="900" w:right="40" w:firstLine="756"/>
        <w:spacing w:after="0" w:line="255" w:lineRule="auto"/>
        <w:rPr>
          <w:sz w:val="20"/>
          <w:szCs w:val="20"/>
          <w:color w:val="auto"/>
        </w:rPr>
      </w:pPr>
      <w:r>
        <w:rPr>
          <w:rFonts w:ascii="Arial" w:cs="Arial" w:eastAsia="Arial" w:hAnsi="Arial"/>
          <w:sz w:val="15"/>
          <w:szCs w:val="15"/>
          <w:color w:val="1A475F"/>
        </w:rPr>
        <w:t>For the reasons outlined above, the Board is asking shareholders to support this proposal. Although this vote is non-binding, the Compensation Committee and the Board value the views of our shareholders as expressed in their votes. The Compensation Committee will consider the outcome of the vote when determining future compensation arrangements for our NEOs. However, neither the Board nor the Compensation Committee will have any obligation to take any action as a result of the say-on-pay vote.</w:t>
      </w:r>
    </w:p>
    <w:p>
      <w:pPr>
        <w:spacing w:after="0" w:line="54" w:lineRule="exact"/>
        <w:rPr>
          <w:sz w:val="20"/>
          <w:szCs w:val="20"/>
          <w:color w:val="auto"/>
        </w:rPr>
      </w:pPr>
    </w:p>
    <w:p>
      <w:pPr>
        <w:ind w:left="900" w:right="100" w:firstLine="756"/>
        <w:spacing w:after="0" w:line="293" w:lineRule="auto"/>
        <w:rPr>
          <w:sz w:val="20"/>
          <w:szCs w:val="20"/>
          <w:color w:val="auto"/>
        </w:rPr>
      </w:pPr>
      <w:r>
        <w:rPr>
          <w:rFonts w:ascii="Arial" w:cs="Arial" w:eastAsia="Arial" w:hAnsi="Arial"/>
          <w:sz w:val="15"/>
          <w:szCs w:val="15"/>
          <w:color w:val="1A475F"/>
        </w:rPr>
        <w:t xml:space="preserve">The Board is asking shareholders to cast a non-binding, advisory vote indicating their approval of the 2025 compensation paid to our NEOs by voting </w:t>
      </w:r>
      <w:r>
        <w:rPr>
          <w:rFonts w:ascii="Arial" w:cs="Arial" w:eastAsia="Arial" w:hAnsi="Arial"/>
          <w:sz w:val="15"/>
          <w:szCs w:val="15"/>
          <w:b w:val="1"/>
          <w:bCs w:val="1"/>
          <w:color w:val="1A475F"/>
        </w:rPr>
        <w:t>“FOR”</w:t>
      </w:r>
      <w:r>
        <w:rPr>
          <w:rFonts w:ascii="Arial" w:cs="Arial" w:eastAsia="Arial" w:hAnsi="Arial"/>
          <w:sz w:val="15"/>
          <w:szCs w:val="15"/>
          <w:color w:val="1A475F"/>
        </w:rPr>
        <w:t xml:space="preserve"> the following resolution:</w:t>
      </w:r>
    </w:p>
    <w:p>
      <w:pPr>
        <w:spacing w:after="0" w:line="19" w:lineRule="exact"/>
        <w:rPr>
          <w:sz w:val="20"/>
          <w:szCs w:val="20"/>
          <w:color w:val="auto"/>
        </w:rPr>
      </w:pPr>
    </w:p>
    <w:p>
      <w:pPr>
        <w:ind w:left="900" w:right="120" w:firstLine="756"/>
        <w:spacing w:after="0" w:line="261" w:lineRule="auto"/>
        <w:rPr>
          <w:sz w:val="20"/>
          <w:szCs w:val="20"/>
          <w:color w:val="auto"/>
        </w:rPr>
      </w:pPr>
      <w:r>
        <w:rPr>
          <w:rFonts w:ascii="Arial" w:cs="Arial" w:eastAsia="Arial" w:hAnsi="Arial"/>
          <w:sz w:val="15"/>
          <w:szCs w:val="15"/>
          <w:color w:val="1A475F"/>
        </w:rPr>
        <w:t>“RESOLVED, that the 2025 compensation paid to the Company’s named executive officers, as disclosed pursuant to Item 402 of Regulation S-K, including the Compensation Discussion and Analysis, compensation tables and narrative discussion,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114935</wp:posOffset>
            </wp:positionV>
            <wp:extent cx="5997575" cy="183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2"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Vote Required</w:t>
      </w:r>
    </w:p>
    <w:p>
      <w:pPr>
        <w:spacing w:after="0" w:line="154" w:lineRule="exact"/>
        <w:rPr>
          <w:sz w:val="20"/>
          <w:szCs w:val="20"/>
          <w:color w:val="auto"/>
        </w:rPr>
      </w:pPr>
    </w:p>
    <w:p>
      <w:pPr>
        <w:jc w:val="both"/>
        <w:ind w:left="900" w:right="100" w:firstLine="756"/>
        <w:spacing w:after="0" w:line="261" w:lineRule="auto"/>
        <w:rPr>
          <w:sz w:val="20"/>
          <w:szCs w:val="20"/>
          <w:color w:val="auto"/>
        </w:rPr>
      </w:pPr>
      <w:r>
        <w:rPr>
          <w:rFonts w:ascii="Arial" w:cs="Arial" w:eastAsia="Arial" w:hAnsi="Arial"/>
          <w:sz w:val="15"/>
          <w:szCs w:val="15"/>
          <w:color w:val="1A475F"/>
        </w:rPr>
        <w:t>The affirmative vote of a majority of the votes cast by the shareholders is required for the approval with respect to the advisory vote on executive compensation. Abstentions and broker non-votes are not considered votes cast for the foregoing purpose and will have no effect on the results of this vote.</w:t>
      </w:r>
    </w:p>
    <w:p>
      <w:pPr>
        <w:spacing w:after="0" w:line="161" w:lineRule="exact"/>
        <w:rPr>
          <w:sz w:val="20"/>
          <w:szCs w:val="20"/>
          <w:color w:val="auto"/>
        </w:rPr>
      </w:pPr>
    </w:p>
    <w:tbl>
      <w:tblPr>
        <w:tblLayout w:type="fixed"/>
        <w:tblInd w:w="910" w:type="dxa"/>
        <w:tblCellMar>
          <w:top w:w="0" w:type="dxa"/>
          <w:left w:w="0" w:type="dxa"/>
          <w:bottom w:w="0" w:type="dxa"/>
          <w:right w:w="0" w:type="dxa"/>
        </w:tblCellMar>
      </w:tblPr>
      <w:tr>
        <w:trPr>
          <w:trHeight w:val="284"/>
        </w:trPr>
        <w:tc>
          <w:tcPr>
            <w:tcW w:w="460" w:type="dxa"/>
            <w:vAlign w:val="bottom"/>
            <w:tcBorders>
              <w:top w:val="single" w:sz="8" w:color="1A475F"/>
              <w:left w:val="single" w:sz="8" w:color="1A475F"/>
              <w:right w:val="single" w:sz="8" w:color="1A475F"/>
            </w:tcBorders>
            <w:vMerge w:val="restart"/>
          </w:tcPr>
          <w:p>
            <w:pPr>
              <w:ind w:left="140"/>
              <w:spacing w:after="0" w:line="253" w:lineRule="exact"/>
              <w:rPr>
                <w:sz w:val="20"/>
                <w:szCs w:val="20"/>
                <w:color w:val="auto"/>
              </w:rPr>
            </w:pPr>
            <w:r>
              <w:rPr>
                <w:rFonts w:ascii="MS PGothic" w:cs="MS PGothic" w:eastAsia="MS PGothic" w:hAnsi="MS PGothic"/>
                <w:sz w:val="22"/>
                <w:szCs w:val="22"/>
                <w:color w:val="1A475F"/>
              </w:rPr>
              <w:t>☑</w:t>
            </w:r>
            <w:r>
              <w:rPr>
                <w:rFonts w:ascii="Arial" w:cs="Arial" w:eastAsia="Arial" w:hAnsi="Arial"/>
                <w:sz w:val="22"/>
                <w:szCs w:val="22"/>
                <w:color w:val="1A475F"/>
              </w:rPr>
              <w:t xml:space="preserve"> </w:t>
            </w:r>
          </w:p>
        </w:tc>
        <w:tc>
          <w:tcPr>
            <w:tcW w:w="9000" w:type="dxa"/>
            <w:vAlign w:val="bottom"/>
            <w:tcBorders>
              <w:top w:val="single" w:sz="8" w:color="1A475F"/>
              <w:right w:val="single" w:sz="8" w:color="1A475F"/>
            </w:tcBorders>
          </w:tcPr>
          <w:p>
            <w:pPr>
              <w:ind w:left="80"/>
              <w:spacing w:after="0"/>
              <w:rPr>
                <w:sz w:val="20"/>
                <w:szCs w:val="20"/>
                <w:color w:val="auto"/>
              </w:rPr>
            </w:pPr>
            <w:r>
              <w:rPr>
                <w:rFonts w:ascii="Arial" w:cs="Arial" w:eastAsia="Arial" w:hAnsi="Arial"/>
                <w:sz w:val="15"/>
                <w:szCs w:val="15"/>
                <w:b w:val="1"/>
                <w:bCs w:val="1"/>
                <w:color w:val="1A475F"/>
              </w:rPr>
              <w:t>THE BOARD OF DIRECTORS RECOMMENDS A VOTE “FOR” PROPOSAL 2 AND THE APPROVAL, ON AN ADVISORY</w:t>
            </w:r>
          </w:p>
        </w:tc>
        <w:tc>
          <w:tcPr>
            <w:tcW w:w="0" w:type="dxa"/>
            <w:vAlign w:val="bottom"/>
          </w:tcPr>
          <w:p>
            <w:pPr>
              <w:spacing w:after="0"/>
              <w:rPr>
                <w:sz w:val="1"/>
                <w:szCs w:val="1"/>
                <w:color w:val="auto"/>
              </w:rPr>
            </w:pPr>
          </w:p>
        </w:tc>
      </w:tr>
      <w:tr>
        <w:trPr>
          <w:trHeight w:val="212"/>
        </w:trPr>
        <w:tc>
          <w:tcPr>
            <w:tcW w:w="460" w:type="dxa"/>
            <w:vAlign w:val="bottom"/>
            <w:tcBorders>
              <w:left w:val="single" w:sz="8" w:color="1A475F"/>
              <w:right w:val="single" w:sz="8" w:color="1A475F"/>
            </w:tcBorders>
            <w:vMerge w:val="continue"/>
          </w:tcPr>
          <w:p>
            <w:pPr>
              <w:spacing w:after="0"/>
              <w:rPr>
                <w:sz w:val="18"/>
                <w:szCs w:val="18"/>
                <w:color w:val="auto"/>
              </w:rPr>
            </w:pPr>
          </w:p>
        </w:tc>
        <w:tc>
          <w:tcPr>
            <w:tcW w:w="9000" w:type="dxa"/>
            <w:vAlign w:val="bottom"/>
            <w:tcBorders>
              <w:right w:val="single" w:sz="8" w:color="1A475F"/>
            </w:tcBorders>
          </w:tcPr>
          <w:p>
            <w:pPr>
              <w:ind w:left="80"/>
              <w:spacing w:after="0"/>
              <w:rPr>
                <w:sz w:val="20"/>
                <w:szCs w:val="20"/>
                <w:color w:val="auto"/>
              </w:rPr>
            </w:pPr>
            <w:r>
              <w:rPr>
                <w:rFonts w:ascii="Arial" w:cs="Arial" w:eastAsia="Arial" w:hAnsi="Arial"/>
                <w:sz w:val="15"/>
                <w:szCs w:val="15"/>
                <w:b w:val="1"/>
                <w:bCs w:val="1"/>
                <w:color w:val="1A475F"/>
              </w:rPr>
              <w:t>BASIS, OF THE 2025 COMPENSATION OF OUR NAMED EXECUTIVE OFFICERS.</w:t>
            </w:r>
          </w:p>
        </w:tc>
        <w:tc>
          <w:tcPr>
            <w:tcW w:w="0" w:type="dxa"/>
            <w:vAlign w:val="bottom"/>
          </w:tcPr>
          <w:p>
            <w:pPr>
              <w:spacing w:after="0"/>
              <w:rPr>
                <w:sz w:val="1"/>
                <w:szCs w:val="1"/>
                <w:color w:val="auto"/>
              </w:rPr>
            </w:pPr>
          </w:p>
        </w:tc>
      </w:tr>
      <w:tr>
        <w:trPr>
          <w:trHeight w:val="98"/>
        </w:trPr>
        <w:tc>
          <w:tcPr>
            <w:tcW w:w="460" w:type="dxa"/>
            <w:vAlign w:val="bottom"/>
            <w:tcBorders>
              <w:left w:val="single" w:sz="8" w:color="1A475F"/>
              <w:bottom w:val="single" w:sz="8" w:color="1A475F"/>
              <w:right w:val="single" w:sz="8" w:color="1A475F"/>
            </w:tcBorders>
          </w:tcPr>
          <w:p>
            <w:pPr>
              <w:spacing w:after="0"/>
              <w:rPr>
                <w:sz w:val="8"/>
                <w:szCs w:val="8"/>
                <w:color w:val="auto"/>
              </w:rPr>
            </w:pPr>
          </w:p>
        </w:tc>
        <w:tc>
          <w:tcPr>
            <w:tcW w:w="9000" w:type="dxa"/>
            <w:vAlign w:val="bottom"/>
            <w:tcBorders>
              <w:bottom w:val="single" w:sz="8" w:color="1A475F"/>
              <w:right w:val="single" w:sz="8" w:color="1A475F"/>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460" w:type="dxa"/>
            <w:vAlign w:val="bottom"/>
          </w:tcPr>
          <w:p>
            <w:pPr>
              <w:spacing w:after="0"/>
              <w:rPr>
                <w:sz w:val="24"/>
                <w:szCs w:val="24"/>
                <w:color w:val="auto"/>
              </w:rPr>
            </w:pPr>
          </w:p>
        </w:tc>
        <w:tc>
          <w:tcPr>
            <w:tcW w:w="9000" w:type="dxa"/>
            <w:vAlign w:val="bottom"/>
          </w:tcPr>
          <w:p>
            <w:pPr>
              <w:ind w:left="6680"/>
              <w:spacing w:after="0"/>
              <w:rPr>
                <w:sz w:val="20"/>
                <w:szCs w:val="20"/>
                <w:color w:val="auto"/>
              </w:rPr>
            </w:pPr>
            <w:r>
              <w:rPr>
                <w:rFonts w:ascii="Arial" w:cs="Arial" w:eastAsia="Arial" w:hAnsi="Arial"/>
                <w:sz w:val="15"/>
                <w:szCs w:val="15"/>
                <w:b w:val="1"/>
                <w:bCs w:val="1"/>
                <w:color w:val="1A475F"/>
              </w:rPr>
              <w:t>  2026 Proxy Statement   |   57</w:t>
            </w:r>
          </w:p>
        </w:tc>
        <w:tc>
          <w:tcPr>
            <w:tcW w:w="0" w:type="dxa"/>
            <w:vAlign w:val="bottom"/>
          </w:tcPr>
          <w:p>
            <w:pPr>
              <w:spacing w:after="0"/>
              <w:rPr>
                <w:sz w:val="1"/>
                <w:szCs w:val="1"/>
                <w:color w:val="auto"/>
              </w:rPr>
            </w:pPr>
          </w:p>
        </w:tc>
      </w:tr>
    </w:tbl>
    <w:p>
      <w:pPr>
        <w:sectPr>
          <w:pgSz w:w="11900" w:h="16838" w:orient="portrait"/>
          <w:cols w:equalWidth="0" w:num="1">
            <w:col w:w="10360"/>
          </w:cols>
          <w:pgMar w:left="320" w:top="434" w:right="12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1A475F"/>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97575" cy="146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334645</wp:posOffset>
            </wp:positionV>
            <wp:extent cx="5997575" cy="183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Audit Committee Report</w:t>
      </w:r>
    </w:p>
    <w:p>
      <w:pPr>
        <w:spacing w:after="0" w:line="154" w:lineRule="exact"/>
        <w:rPr>
          <w:sz w:val="20"/>
          <w:szCs w:val="20"/>
          <w:color w:val="auto"/>
        </w:rPr>
      </w:pPr>
    </w:p>
    <w:p>
      <w:pPr>
        <w:ind w:left="900" w:right="20" w:firstLine="756"/>
        <w:spacing w:after="0" w:line="261" w:lineRule="auto"/>
        <w:rPr>
          <w:sz w:val="20"/>
          <w:szCs w:val="20"/>
          <w:color w:val="auto"/>
        </w:rPr>
      </w:pPr>
      <w:r>
        <w:rPr>
          <w:rFonts w:ascii="Arial" w:cs="Arial" w:eastAsia="Arial" w:hAnsi="Arial"/>
          <w:sz w:val="15"/>
          <w:szCs w:val="15"/>
          <w:i w:val="1"/>
          <w:iCs w:val="1"/>
          <w:color w:val="1A475F"/>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Audit Committee Composition and Meetings</w:t>
      </w:r>
    </w:p>
    <w:p>
      <w:pPr>
        <w:spacing w:after="0" w:line="94" w:lineRule="exact"/>
        <w:rPr>
          <w:sz w:val="20"/>
          <w:szCs w:val="20"/>
          <w:color w:val="auto"/>
        </w:rPr>
      </w:pPr>
    </w:p>
    <w:p>
      <w:pPr>
        <w:ind w:left="900" w:right="40" w:firstLine="756"/>
        <w:spacing w:after="0" w:line="255" w:lineRule="auto"/>
        <w:rPr>
          <w:sz w:val="20"/>
          <w:szCs w:val="20"/>
          <w:color w:val="auto"/>
        </w:rPr>
      </w:pPr>
      <w:r>
        <w:rPr>
          <w:rFonts w:ascii="Arial" w:cs="Arial" w:eastAsia="Arial" w:hAnsi="Arial"/>
          <w:sz w:val="15"/>
          <w:szCs w:val="15"/>
          <w:color w:val="1A475F"/>
        </w:rPr>
        <w:t>The Audit Committee is composed of three directors, Lawrence M. Alleva, Laurel J. Richie, and Mary Ann Tocio, each of whom the Board has determined is independent in accordance with the rules of the SEC and the NYSE. All members are “financially literate” as that term is defined by the listing standards of the NYSE, and the Board has determined that Mr. Alleva is an audit committee financial expert as defined by the rules of the SEC.</w:t>
      </w:r>
    </w:p>
    <w:p>
      <w:pPr>
        <w:spacing w:after="0" w:line="147" w:lineRule="exact"/>
        <w:rPr>
          <w:sz w:val="20"/>
          <w:szCs w:val="20"/>
          <w:color w:val="auto"/>
        </w:rPr>
      </w:pPr>
    </w:p>
    <w:p>
      <w:pPr>
        <w:ind w:left="900" w:right="240" w:firstLine="756"/>
        <w:spacing w:after="0" w:line="249" w:lineRule="auto"/>
        <w:rPr>
          <w:sz w:val="20"/>
          <w:szCs w:val="20"/>
          <w:color w:val="auto"/>
        </w:rPr>
      </w:pPr>
      <w:r>
        <w:rPr>
          <w:rFonts w:ascii="Arial" w:cs="Arial" w:eastAsia="Arial" w:hAnsi="Arial"/>
          <w:sz w:val="15"/>
          <w:szCs w:val="15"/>
          <w:color w:val="1A475F"/>
        </w:rPr>
        <w:t>In discharging its duties in 2025, the Audit Committee met eight (8) times and regularly met in executive sessions after each committee meeting throughout the year. The Audit Committee also regularly meets individually with each of Deloitte &amp; Touche LLP (“Deloitte”), management and Internal Audit as well as in committee-only executive sessions. The range of topics discussed throughout the year include financial management and resources, tax and treasury planning, accounting and auditing topics, legal and compliance matters, litigation, regulatory changes, cybersecurity and data privacy, including artificial intelligence, ERM, insurance, and internal controls.</w:t>
      </w:r>
    </w:p>
    <w:p>
      <w:pPr>
        <w:spacing w:after="0" w:line="61"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Independent Auditors</w:t>
      </w:r>
    </w:p>
    <w:p>
      <w:pPr>
        <w:spacing w:after="0" w:line="94" w:lineRule="exact"/>
        <w:rPr>
          <w:sz w:val="20"/>
          <w:szCs w:val="20"/>
          <w:color w:val="auto"/>
        </w:rPr>
      </w:pPr>
    </w:p>
    <w:p>
      <w:pPr>
        <w:ind w:left="900" w:right="20" w:firstLine="756"/>
        <w:spacing w:after="0" w:line="246" w:lineRule="auto"/>
        <w:rPr>
          <w:sz w:val="20"/>
          <w:szCs w:val="20"/>
          <w:color w:val="auto"/>
        </w:rPr>
      </w:pPr>
      <w:r>
        <w:rPr>
          <w:rFonts w:ascii="Arial" w:cs="Arial" w:eastAsia="Arial" w:hAnsi="Arial"/>
          <w:sz w:val="15"/>
          <w:szCs w:val="15"/>
          <w:color w:val="1A475F"/>
        </w:rPr>
        <w:t>The Audit Committee engaged Deloitte as the Company’s independent registered public accounting firm for the year ended December 31, 2025. This appointment of Deloitte was ratified by the shareholders of the Company at the 2025 Annual Meeting. The Audit Committee is directly responsible for the appointment, compensation, retention and oversight of the Company’s independent auditor and, at least annually, the Audit Committee reviews and evaluates the performance of the Company’s independent auditor and determines whether to continue to engage the current auditor or to interview another audit firm. Additionally, the Audit Committee is directly involved in selecting the lead engagement audit partner to ensure that the lead engagement partner is appropriately qualified to lead the Bright Horizons audit. Consistent with applicable rules, the lead engagement audit partner rotates every five years and a new lead audit partner was appointed for the 2023 audit engagement and will rotate again in 2028. Deloitte has been the Company’s independent registered public accounting firm since 2005.</w:t>
      </w:r>
    </w:p>
    <w:p>
      <w:pPr>
        <w:spacing w:after="0" w:line="64" w:lineRule="exact"/>
        <w:rPr>
          <w:sz w:val="20"/>
          <w:szCs w:val="20"/>
          <w:color w:val="auto"/>
        </w:rPr>
      </w:pPr>
    </w:p>
    <w:p>
      <w:pPr>
        <w:ind w:left="900" w:right="240" w:firstLine="756"/>
        <w:spacing w:after="0" w:line="261" w:lineRule="auto"/>
        <w:rPr>
          <w:sz w:val="20"/>
          <w:szCs w:val="20"/>
          <w:color w:val="auto"/>
        </w:rPr>
      </w:pPr>
      <w:r>
        <w:rPr>
          <w:rFonts w:ascii="Arial" w:cs="Arial" w:eastAsia="Arial" w:hAnsi="Arial"/>
          <w:sz w:val="15"/>
          <w:szCs w:val="15"/>
          <w:color w:val="1A475F"/>
        </w:rPr>
        <w:t>The Audit Committee reviewed and evaluated the performance of Deloitte (as further discussed in Proposal 3 of this Proxy Statement) and, as a result, appointed Deloitte as the independent registered public accounting firm for fiscal year 2026, which is being presented to Bright Horizons’ shareholders for ratification at this Annual Meeting.</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Overall Responsibilities and Key Fiscal Year 2025 Actions</w:t>
      </w:r>
    </w:p>
    <w:p>
      <w:pPr>
        <w:spacing w:after="0" w:line="94" w:lineRule="exact"/>
        <w:rPr>
          <w:sz w:val="20"/>
          <w:szCs w:val="20"/>
          <w:color w:val="auto"/>
        </w:rPr>
      </w:pPr>
    </w:p>
    <w:p>
      <w:pPr>
        <w:ind w:left="900" w:right="40" w:firstLine="756"/>
        <w:spacing w:after="0" w:line="247" w:lineRule="auto"/>
        <w:rPr>
          <w:sz w:val="20"/>
          <w:szCs w:val="20"/>
          <w:color w:val="auto"/>
        </w:rPr>
      </w:pPr>
      <w:r>
        <w:rPr>
          <w:rFonts w:ascii="Arial" w:cs="Arial" w:eastAsia="Arial" w:hAnsi="Arial"/>
          <w:sz w:val="15"/>
          <w:szCs w:val="15"/>
          <w:color w:val="1A475F"/>
        </w:rPr>
        <w:t xml:space="preserve">The Audit Committee is responsible for overseeing the quality and integrity of Bright Horizons’ financial statements and financial reporting process and providing independent, objective oversight with respect to the Company’s accounting and financial reporting functions, internal and external audit functions, system of internal controls, ethics and compliance, and risk oversight and management, including the Company’s ERM program, cybersecurity and data privacy and other nonfinancial risks. The Audit Committee’s scope of responsibilities and functions are described in the “Committees and Committee Composition” section of this Proxy Statement. The Audit Committee operates in accordance with a written charter adopted by the Board and reviewed annually by the Audit Committee, a copy of which is available on the Investor Relations section of our website at </w:t>
      </w:r>
      <w:r>
        <w:rPr>
          <w:rFonts w:ascii="Arial" w:cs="Arial" w:eastAsia="Arial" w:hAnsi="Arial"/>
          <w:sz w:val="15"/>
          <w:szCs w:val="15"/>
          <w:i w:val="1"/>
          <w:iCs w:val="1"/>
          <w:color w:val="1A475F"/>
        </w:rPr>
        <w:t>investors.brighthorizons.com</w:t>
      </w:r>
      <w:r>
        <w:rPr>
          <w:rFonts w:ascii="Arial" w:cs="Arial" w:eastAsia="Arial" w:hAnsi="Arial"/>
          <w:sz w:val="15"/>
          <w:szCs w:val="15"/>
          <w:color w:val="1A475F"/>
        </w:rPr>
        <w:t xml:space="preserve"> under “Governance &amp; Responsibility—Governance Documents.”</w:t>
      </w:r>
    </w:p>
    <w:p>
      <w:pPr>
        <w:spacing w:after="0" w:line="239" w:lineRule="exact"/>
        <w:rPr>
          <w:sz w:val="20"/>
          <w:szCs w:val="20"/>
          <w:color w:val="auto"/>
        </w:rPr>
      </w:pPr>
    </w:p>
    <w:p>
      <w:pPr>
        <w:ind w:left="900" w:firstLine="756"/>
        <w:spacing w:after="0" w:line="249" w:lineRule="auto"/>
        <w:rPr>
          <w:sz w:val="20"/>
          <w:szCs w:val="20"/>
          <w:color w:val="auto"/>
        </w:rPr>
      </w:pPr>
      <w:r>
        <w:rPr>
          <w:rFonts w:ascii="Arial" w:cs="Arial" w:eastAsia="Arial" w:hAnsi="Arial"/>
          <w:sz w:val="15"/>
          <w:szCs w:val="15"/>
          <w:color w:val="1A475F"/>
        </w:rPr>
        <w:t>Company management has primary responsibility for Bright Horizons’ financial statements and the overall financial reporting process, including the Company’s system of internal controls and evaluating the effectiveness of internal control over financial reporting. Deloitte is responsible for (1) performing an audit of the annual financial statements, (2) expressing an opinion as to whether those financial statements fairly present the financial position, results of operations and cash flows of Bright Horizons in conformity with generally accepted accounting principles and on the effectiveness of Bright Horizons’ internal control over financial reporting, and (3) issuing reports thereon. The Audit Committee’s responsibility is to monitor and oversee these processes.</w:t>
      </w:r>
    </w:p>
    <w:p>
      <w:pPr>
        <w:spacing w:after="0" w:line="61" w:lineRule="exact"/>
        <w:rPr>
          <w:sz w:val="20"/>
          <w:szCs w:val="20"/>
          <w:color w:val="auto"/>
        </w:rPr>
      </w:pPr>
    </w:p>
    <w:p>
      <w:pPr>
        <w:ind w:left="900" w:right="160" w:firstLine="756"/>
        <w:spacing w:after="0" w:line="261" w:lineRule="auto"/>
        <w:rPr>
          <w:sz w:val="20"/>
          <w:szCs w:val="20"/>
          <w:color w:val="auto"/>
        </w:rPr>
      </w:pPr>
      <w:r>
        <w:rPr>
          <w:rFonts w:ascii="Arial" w:cs="Arial" w:eastAsia="Arial" w:hAnsi="Arial"/>
          <w:sz w:val="15"/>
          <w:szCs w:val="15"/>
          <w:color w:val="1A475F"/>
        </w:rPr>
        <w:t>Regularly throughout fiscal year 2025, the Audit Committee reviewed and discussed with Internal Audit and Deloitte, with and without management present, the Company’s progress in the testing and evaluation of its internal control over financial reporting and discussed the results of their respective audit examinations and the overall</w:t>
      </w:r>
    </w:p>
    <w:p>
      <w:pPr>
        <w:spacing w:after="0" w:line="83"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58</w:t>
        <w:tab/>
        <w:t>|    Bright Horizons </w:t>
      </w:r>
    </w:p>
    <w:p>
      <w:pPr>
        <w:sectPr>
          <w:pgSz w:w="11900" w:h="16838" w:orient="portrait"/>
          <w:cols w:equalWidth="0" w:num="1">
            <w:col w:w="10340"/>
          </w:cols>
          <w:pgMar w:left="320" w:top="434" w:right="1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3" w:lineRule="exact"/>
        <w:rPr>
          <w:sz w:val="20"/>
          <w:szCs w:val="20"/>
          <w:color w:val="auto"/>
        </w:rPr>
      </w:pPr>
    </w:p>
    <w:p>
      <w:pPr>
        <w:ind w:left="900"/>
        <w:spacing w:after="0" w:line="261" w:lineRule="auto"/>
        <w:rPr>
          <w:sz w:val="20"/>
          <w:szCs w:val="20"/>
          <w:color w:val="auto"/>
        </w:rPr>
      </w:pPr>
      <w:r>
        <w:rPr>
          <w:rFonts w:ascii="Arial" w:cs="Arial" w:eastAsia="Arial" w:hAnsi="Arial"/>
          <w:sz w:val="15"/>
          <w:szCs w:val="15"/>
          <w:color w:val="1A475F"/>
        </w:rPr>
        <w:t>quality of the Company’s financial reporting. Management has provided the Audit Committee with its assessment on the effectiveness of the Company’s internal control over financial reporting. The Audit Committee reviewed management’s assessment and Deloitte’s report on the effectiveness of Bright Horizons’ internal control over financial reporting included in the Company’s 2025 Annual Report.</w:t>
      </w:r>
    </w:p>
    <w:p>
      <w:pPr>
        <w:spacing w:after="0" w:line="51" w:lineRule="exact"/>
        <w:rPr>
          <w:sz w:val="20"/>
          <w:szCs w:val="20"/>
          <w:color w:val="auto"/>
        </w:rPr>
      </w:pPr>
    </w:p>
    <w:p>
      <w:pPr>
        <w:jc w:val="both"/>
        <w:ind w:left="900" w:right="240" w:firstLine="756"/>
        <w:spacing w:after="0" w:line="261" w:lineRule="auto"/>
        <w:rPr>
          <w:sz w:val="20"/>
          <w:szCs w:val="20"/>
          <w:color w:val="auto"/>
        </w:rPr>
      </w:pPr>
      <w:r>
        <w:rPr>
          <w:rFonts w:ascii="Arial" w:cs="Arial" w:eastAsia="Arial" w:hAnsi="Arial"/>
          <w:sz w:val="15"/>
          <w:szCs w:val="15"/>
          <w:color w:val="1A475F"/>
        </w:rPr>
        <w:t>The Audit Committee reviewed with both Deloitte and the Company’s internal auditors each of their audit plans, audit scope, identification of audit risks and the results of their audit efforts. The Audit Committee discussed the Company’s Internal Audit function’s organization, charter, responsibilities, budget, independence and staffing with the internal auditors, management and Deloitte.</w:t>
      </w:r>
    </w:p>
    <w:p>
      <w:pPr>
        <w:spacing w:after="0" w:line="51" w:lineRule="exact"/>
        <w:rPr>
          <w:sz w:val="20"/>
          <w:szCs w:val="20"/>
          <w:color w:val="auto"/>
        </w:rPr>
      </w:pPr>
    </w:p>
    <w:p>
      <w:pPr>
        <w:ind w:left="900" w:right="60" w:firstLine="756"/>
        <w:spacing w:after="0" w:line="251" w:lineRule="auto"/>
        <w:rPr>
          <w:sz w:val="20"/>
          <w:szCs w:val="20"/>
          <w:color w:val="auto"/>
        </w:rPr>
      </w:pPr>
      <w:r>
        <w:rPr>
          <w:rFonts w:ascii="Arial" w:cs="Arial" w:eastAsia="Arial" w:hAnsi="Arial"/>
          <w:sz w:val="15"/>
          <w:szCs w:val="15"/>
          <w:color w:val="1A475F"/>
        </w:rPr>
        <w:t>As part of the Audit Committee’s oversight of risk, the Audit Committee annually reviews with management, including the Chief Information Officer, Chief Information Security Officer and Global Privacy Officer, and the internal auditors, the Company’s cybersecurity, information security, data privacy, business continuity and disaster recovery programs. Management and the Company’s internal auditors also reviewed and discussed with the Audit Committee the Company’s ERM program and how risk is assessed and mitigated as part of the Audit Committee’s oversight function.</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1A475F"/>
        </w:rPr>
        <w:t>2025 Audited Financial Statements</w:t>
      </w:r>
    </w:p>
    <w:p>
      <w:pPr>
        <w:spacing w:after="0" w:line="94" w:lineRule="exact"/>
        <w:rPr>
          <w:sz w:val="20"/>
          <w:szCs w:val="20"/>
          <w:color w:val="auto"/>
        </w:rPr>
      </w:pPr>
    </w:p>
    <w:p>
      <w:pPr>
        <w:ind w:left="900" w:right="100" w:firstLine="756"/>
        <w:spacing w:after="0" w:line="246" w:lineRule="auto"/>
        <w:rPr>
          <w:sz w:val="20"/>
          <w:szCs w:val="20"/>
          <w:color w:val="auto"/>
        </w:rPr>
      </w:pPr>
      <w:r>
        <w:rPr>
          <w:rFonts w:ascii="Arial" w:cs="Arial" w:eastAsia="Arial" w:hAnsi="Arial"/>
          <w:sz w:val="15"/>
          <w:szCs w:val="15"/>
          <w:color w:val="1A475F"/>
        </w:rPr>
        <w:t>The Audit Committee met with management of the Company and Deloitte and (1) reviewed and discussed the Company’s audited consolidated financial statements for the year ended December 31, 2025, (2) reviewed and discussed the quarterly consolidated financial statements, (3) reviewed and discussed the critical audit matter (CAM) presented in Deloitte’s audit report, and (4) reviewed and discussed with management the Company’s earnings press releases. The Audit Committee discussed with management and Deloitte the critical accounting policies and practices used in the preparation of the Company’s audited financial statements as well as the significant accounting estimates utilized by the Company, the reasonableness of significant judgments, new accounting developments and pronouncements, and the clarity of disclosures in the financial statements. Management has represented to the Audit Committee that the audited financial statements for the year ended December 31, 2025 were prepared in accordance with generally accepted accounting principles and Deloitte audited and expressed an unqualified opinion on the financial statements.</w:t>
      </w:r>
    </w:p>
    <w:p>
      <w:pPr>
        <w:spacing w:after="0" w:line="64" w:lineRule="exact"/>
        <w:rPr>
          <w:sz w:val="20"/>
          <w:szCs w:val="20"/>
          <w:color w:val="auto"/>
        </w:rPr>
      </w:pPr>
    </w:p>
    <w:p>
      <w:pPr>
        <w:ind w:left="900" w:right="40" w:firstLine="756"/>
        <w:spacing w:after="0" w:line="245" w:lineRule="auto"/>
        <w:rPr>
          <w:sz w:val="20"/>
          <w:szCs w:val="20"/>
          <w:color w:val="auto"/>
        </w:rPr>
      </w:pPr>
      <w:r>
        <w:rPr>
          <w:rFonts w:ascii="Arial" w:cs="Arial" w:eastAsia="Arial" w:hAnsi="Arial"/>
          <w:sz w:val="15"/>
          <w:szCs w:val="15"/>
          <w:color w:val="1A475F"/>
        </w:rPr>
        <w:t xml:space="preserve">The Audit Committee received the written disclosures and the letter from Deloitte pursuant to Rule 3526, </w:t>
      </w:r>
      <w:r>
        <w:rPr>
          <w:rFonts w:ascii="Arial" w:cs="Arial" w:eastAsia="Arial" w:hAnsi="Arial"/>
          <w:sz w:val="15"/>
          <w:szCs w:val="15"/>
          <w:i w:val="1"/>
          <w:iCs w:val="1"/>
          <w:color w:val="1A475F"/>
        </w:rPr>
        <w:t>Communication with</w:t>
      </w:r>
      <w:r>
        <w:rPr>
          <w:rFonts w:ascii="Arial" w:cs="Arial" w:eastAsia="Arial" w:hAnsi="Arial"/>
          <w:sz w:val="15"/>
          <w:szCs w:val="15"/>
          <w:color w:val="1A475F"/>
        </w:rPr>
        <w:t xml:space="preserve"> </w:t>
      </w:r>
      <w:r>
        <w:rPr>
          <w:rFonts w:ascii="Arial" w:cs="Arial" w:eastAsia="Arial" w:hAnsi="Arial"/>
          <w:sz w:val="15"/>
          <w:szCs w:val="15"/>
          <w:i w:val="1"/>
          <w:iCs w:val="1"/>
          <w:color w:val="1A475F"/>
        </w:rPr>
        <w:t>Audit Committees Concerning Independence</w:t>
      </w:r>
      <w:r>
        <w:rPr>
          <w:rFonts w:ascii="Arial" w:cs="Arial" w:eastAsia="Arial" w:hAnsi="Arial"/>
          <w:sz w:val="15"/>
          <w:szCs w:val="15"/>
          <w:color w:val="1A475F"/>
        </w:rPr>
        <w:t>, of the Public Company Accounting Oversight Board (the “PCAOB”) regarding Deloitte’s</w:t>
      </w:r>
      <w:r>
        <w:rPr>
          <w:rFonts w:ascii="Arial" w:cs="Arial" w:eastAsia="Arial" w:hAnsi="Arial"/>
          <w:sz w:val="15"/>
          <w:szCs w:val="15"/>
          <w:i w:val="1"/>
          <w:iCs w:val="1"/>
          <w:color w:val="1A475F"/>
        </w:rPr>
        <w:t xml:space="preserve"> </w:t>
      </w:r>
      <w:r>
        <w:rPr>
          <w:rFonts w:ascii="Arial" w:cs="Arial" w:eastAsia="Arial" w:hAnsi="Arial"/>
          <w:sz w:val="15"/>
          <w:szCs w:val="15"/>
          <w:color w:val="1A475F"/>
        </w:rPr>
        <w:t>communications with the Audit Committee concerning independence and any relationships between Deloitte and Bright Horizons and the potential effects of any disclosed relationships on Deloitte’s independence. The Audit Committee discussed with Deloitte its independence and any relationships with Deloitte that may impact their objectivity and independence, and also considered whether the provision</w:t>
      </w:r>
    </w:p>
    <w:p>
      <w:pPr>
        <w:spacing w:after="0" w:line="2" w:lineRule="exact"/>
        <w:rPr>
          <w:sz w:val="20"/>
          <w:szCs w:val="20"/>
          <w:color w:val="auto"/>
        </w:rPr>
      </w:pPr>
    </w:p>
    <w:p>
      <w:pPr>
        <w:jc w:val="both"/>
        <w:ind w:left="900" w:right="60"/>
        <w:spacing w:after="0" w:line="252" w:lineRule="auto"/>
        <w:rPr>
          <w:sz w:val="20"/>
          <w:szCs w:val="20"/>
          <w:color w:val="auto"/>
        </w:rPr>
      </w:pPr>
      <w:r>
        <w:rPr>
          <w:rFonts w:ascii="Arial" w:cs="Arial" w:eastAsia="Arial" w:hAnsi="Arial"/>
          <w:sz w:val="15"/>
          <w:szCs w:val="15"/>
          <w:color w:val="1A475F"/>
        </w:rPr>
        <w:t>of non-audit services and fees by Deloitte is compatible with independence. Based on these discussions, the Audit Committee is satisfied with Deloitte’s independence. The Audit Committee also received and reviewed a report prepared by Deloitte describing the firm’s internal quality control procedures and any material issues raised by the firm’s most recent internal quality-control review and PCAOB inspection.</w:t>
      </w:r>
    </w:p>
    <w:p>
      <w:pPr>
        <w:spacing w:after="0" w:line="56" w:lineRule="exact"/>
        <w:rPr>
          <w:sz w:val="20"/>
          <w:szCs w:val="20"/>
          <w:color w:val="auto"/>
        </w:rPr>
      </w:pPr>
    </w:p>
    <w:p>
      <w:pPr>
        <w:jc w:val="both"/>
        <w:ind w:left="900" w:right="160" w:firstLine="756"/>
        <w:spacing w:after="0" w:line="261" w:lineRule="auto"/>
        <w:rPr>
          <w:sz w:val="20"/>
          <w:szCs w:val="20"/>
          <w:color w:val="auto"/>
        </w:rPr>
      </w:pPr>
      <w:r>
        <w:rPr>
          <w:rFonts w:ascii="Arial" w:cs="Arial" w:eastAsia="Arial" w:hAnsi="Arial"/>
          <w:sz w:val="15"/>
          <w:szCs w:val="15"/>
          <w:color w:val="1A475F"/>
        </w:rPr>
        <w:t xml:space="preserve">The Audit Committee discussed and reviewed with Deloitte the matters required to be communicated by Deloitte to the Audit Committee by Auditing Standards No. 1301, as amended, adopted by the PCAOB, </w:t>
      </w:r>
      <w:r>
        <w:rPr>
          <w:rFonts w:ascii="Arial" w:cs="Arial" w:eastAsia="Arial" w:hAnsi="Arial"/>
          <w:sz w:val="15"/>
          <w:szCs w:val="15"/>
          <w:i w:val="1"/>
          <w:iCs w:val="1"/>
          <w:color w:val="1A475F"/>
        </w:rPr>
        <w:t>Communication with Audit Committees</w:t>
      </w:r>
      <w:r>
        <w:rPr>
          <w:rFonts w:ascii="Arial" w:cs="Arial" w:eastAsia="Arial" w:hAnsi="Arial"/>
          <w:sz w:val="15"/>
          <w:szCs w:val="15"/>
          <w:color w:val="1A475F"/>
        </w:rPr>
        <w:t xml:space="preserve"> and, with and without management present, discussed and reviewed the results of Deloitte’s examination of Bright Horizons’ financial statements.</w:t>
      </w:r>
    </w:p>
    <w:p>
      <w:pPr>
        <w:spacing w:after="0" w:line="51" w:lineRule="exact"/>
        <w:rPr>
          <w:sz w:val="20"/>
          <w:szCs w:val="20"/>
          <w:color w:val="auto"/>
        </w:rPr>
      </w:pPr>
    </w:p>
    <w:p>
      <w:pPr>
        <w:ind w:left="900" w:right="180" w:firstLine="756"/>
        <w:spacing w:after="0" w:line="261" w:lineRule="auto"/>
        <w:rPr>
          <w:sz w:val="20"/>
          <w:szCs w:val="20"/>
          <w:color w:val="auto"/>
        </w:rPr>
      </w:pPr>
      <w:r>
        <w:rPr>
          <w:rFonts w:ascii="Arial" w:cs="Arial" w:eastAsia="Arial" w:hAnsi="Arial"/>
          <w:sz w:val="15"/>
          <w:szCs w:val="15"/>
          <w:color w:val="1A475F"/>
        </w:rPr>
        <w:t>Based on these reviews and discussions with management, the internal auditors and Deloitte referred to above, the Audit Committee recommended to the Board that Bright Horizons’ audited financial statements be included in its Annual Report on Form 10-K for the year ended December 31, 2025 for filing with the SEC.</w:t>
      </w:r>
    </w:p>
    <w:p>
      <w:pPr>
        <w:spacing w:after="0" w:line="51" w:lineRule="exact"/>
        <w:rPr>
          <w:sz w:val="20"/>
          <w:szCs w:val="20"/>
          <w:color w:val="auto"/>
        </w:rPr>
      </w:pPr>
    </w:p>
    <w:p>
      <w:pPr>
        <w:ind w:left="1760"/>
        <w:spacing w:after="0"/>
        <w:rPr>
          <w:sz w:val="20"/>
          <w:szCs w:val="20"/>
          <w:color w:val="auto"/>
        </w:rPr>
      </w:pPr>
      <w:r>
        <w:rPr>
          <w:rFonts w:ascii="Arial" w:cs="Arial" w:eastAsia="Arial" w:hAnsi="Arial"/>
          <w:sz w:val="15"/>
          <w:szCs w:val="15"/>
          <w:color w:val="1A475F"/>
        </w:rPr>
        <w:t>Submitted by the Audit Committee,</w:t>
      </w:r>
    </w:p>
    <w:p>
      <w:pPr>
        <w:spacing w:after="0" w:line="94" w:lineRule="exact"/>
        <w:rPr>
          <w:sz w:val="20"/>
          <w:szCs w:val="20"/>
          <w:color w:val="auto"/>
        </w:rPr>
      </w:pPr>
    </w:p>
    <w:p>
      <w:pPr>
        <w:ind w:left="1760"/>
        <w:spacing w:after="0"/>
        <w:rPr>
          <w:sz w:val="20"/>
          <w:szCs w:val="20"/>
          <w:color w:val="auto"/>
        </w:rPr>
      </w:pPr>
      <w:r>
        <w:rPr>
          <w:rFonts w:ascii="Arial" w:cs="Arial" w:eastAsia="Arial" w:hAnsi="Arial"/>
          <w:sz w:val="15"/>
          <w:szCs w:val="15"/>
          <w:color w:val="1A475F"/>
        </w:rPr>
        <w:t>Lawrence M. Alleva, Chair</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5"/>
          <w:szCs w:val="15"/>
          <w:color w:val="1A475F"/>
        </w:rPr>
        <w:t>Laurel J. Richie</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color w:val="1A475F"/>
        </w:rPr>
        <w:t>Mary Ann Tocio</w:t>
      </w:r>
    </w:p>
    <w:p>
      <w:pPr>
        <w:spacing w:after="0" w:line="80" w:lineRule="exact"/>
        <w:rPr>
          <w:sz w:val="20"/>
          <w:szCs w:val="20"/>
          <w:color w:val="auto"/>
        </w:rPr>
      </w:pPr>
    </w:p>
    <w:p>
      <w:pPr>
        <w:ind w:left="900" w:right="380" w:firstLine="850"/>
        <w:spacing w:after="0" w:line="282" w:lineRule="auto"/>
        <w:rPr>
          <w:sz w:val="20"/>
          <w:szCs w:val="20"/>
          <w:color w:val="auto"/>
        </w:rPr>
      </w:pPr>
      <w:r>
        <w:rPr>
          <w:rFonts w:ascii="Arial" w:cs="Arial" w:eastAsia="Arial" w:hAnsi="Arial"/>
          <w:sz w:val="15"/>
          <w:szCs w:val="15"/>
          <w:i w:val="1"/>
          <w:iCs w:val="1"/>
          <w:color w:val="1A475F"/>
        </w:rPr>
        <w:t>For more information about the Audit Committee members experience and credentials, please see the individual director biographies starting on page 5.</w:t>
      </w:r>
    </w:p>
    <w:p>
      <w:pPr>
        <w:spacing w:after="0" w:line="67"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59</w:t>
      </w:r>
    </w:p>
    <w:p>
      <w:pPr>
        <w:sectPr>
          <w:pgSz w:w="11900" w:h="16838" w:orient="portrait"/>
          <w:cols w:equalWidth="0" w:num="1">
            <w:col w:w="10340"/>
          </w:cols>
          <w:pgMar w:left="320" w:top="434" w:right="1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189230</wp:posOffset>
            </wp:positionV>
            <wp:extent cx="5997575" cy="183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Audit and Other Fees</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The aggregate fees that Bright Horizons paid for professional services rendered by Deloitte for the fiscal years ended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1A475F"/>
        </w:rPr>
        <w:t>December 31, 2025 and December 31, 2024 were:</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74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1A475F"/>
              </w:rPr>
              <w:t>2025</w:t>
            </w:r>
          </w:p>
        </w:tc>
        <w:tc>
          <w:tcPr>
            <w:tcW w:w="1120" w:type="dxa"/>
            <w:vAlign w:val="bottom"/>
            <w:gridSpan w:val="2"/>
          </w:tcPr>
          <w:p>
            <w:pPr>
              <w:jc w:val="right"/>
              <w:ind w:right="163"/>
              <w:spacing w:after="0"/>
              <w:rPr>
                <w:sz w:val="20"/>
                <w:szCs w:val="20"/>
                <w:color w:val="auto"/>
              </w:rPr>
            </w:pPr>
            <w:r>
              <w:rPr>
                <w:rFonts w:ascii="Arial" w:cs="Arial" w:eastAsia="Arial" w:hAnsi="Arial"/>
                <w:sz w:val="15"/>
                <w:szCs w:val="15"/>
                <w:b w:val="1"/>
                <w:bCs w:val="1"/>
                <w:color w:val="1A475F"/>
              </w:rPr>
              <w:t>2024</w:t>
            </w:r>
          </w:p>
        </w:tc>
        <w:tc>
          <w:tcPr>
            <w:tcW w:w="4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326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5"/>
                <w:szCs w:val="15"/>
                <w:color w:val="1A475F"/>
              </w:rPr>
              <w:t>Audit Fees</w:t>
            </w:r>
          </w:p>
        </w:tc>
        <w:tc>
          <w:tcPr>
            <w:tcW w:w="19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5"/>
                <w:szCs w:val="15"/>
                <w:color w:val="1A475F"/>
              </w:rPr>
              <w:t>$3,202,564</w:t>
            </w: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5"/>
                <w:szCs w:val="15"/>
                <w:color w:val="1A475F"/>
              </w:rPr>
              <w:t>$2,860,647</w:t>
            </w:r>
          </w:p>
        </w:tc>
        <w:tc>
          <w:tcPr>
            <w:tcW w:w="40" w:type="dxa"/>
            <w:vAlign w:val="bottom"/>
            <w:tcBorders>
              <w:top w:val="single" w:sz="8" w:color="CCEEFF"/>
            </w:tcBorders>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1A475F"/>
              </w:rPr>
              <w:t>Audit-Related Fees</w:t>
            </w:r>
          </w:p>
        </w:tc>
        <w:tc>
          <w:tcPr>
            <w:tcW w:w="2740" w:type="dxa"/>
            <w:vAlign w:val="bottom"/>
            <w:gridSpan w:val="2"/>
          </w:tcPr>
          <w:p>
            <w:pPr>
              <w:jc w:val="right"/>
              <w:spacing w:after="0"/>
              <w:rPr>
                <w:sz w:val="20"/>
                <w:szCs w:val="20"/>
                <w:color w:val="auto"/>
              </w:rPr>
            </w:pPr>
            <w:r>
              <w:rPr>
                <w:rFonts w:ascii="Arial" w:cs="Arial" w:eastAsia="Arial" w:hAnsi="Arial"/>
                <w:sz w:val="15"/>
                <w:szCs w:val="15"/>
                <w:color w:val="1A475F"/>
              </w:rPr>
              <w:t>311,590</w:t>
            </w:r>
          </w:p>
        </w:tc>
        <w:tc>
          <w:tcPr>
            <w:tcW w:w="320" w:type="dxa"/>
            <w:vAlign w:val="bottom"/>
          </w:tcPr>
          <w:p>
            <w:pPr>
              <w:spacing w:after="0"/>
              <w:rPr>
                <w:sz w:val="15"/>
                <w:szCs w:val="15"/>
                <w:color w:val="auto"/>
              </w:rPr>
            </w:pPr>
          </w:p>
        </w:tc>
        <w:tc>
          <w:tcPr>
            <w:tcW w:w="840" w:type="dxa"/>
            <w:vAlign w:val="bottom"/>
            <w:gridSpan w:val="2"/>
          </w:tcPr>
          <w:p>
            <w:pPr>
              <w:ind w:left="420"/>
              <w:spacing w:after="0"/>
              <w:rPr>
                <w:sz w:val="20"/>
                <w:szCs w:val="20"/>
                <w:color w:val="auto"/>
              </w:rPr>
            </w:pPr>
            <w:r>
              <w:rPr>
                <w:rFonts w:ascii="Arial" w:cs="Arial" w:eastAsia="Arial" w:hAnsi="Arial"/>
                <w:sz w:val="15"/>
                <w:szCs w:val="15"/>
                <w:color w:val="1A475F"/>
              </w:rPr>
              <w:t xml:space="preserve">—      </w:t>
            </w: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1A475F"/>
              </w:rPr>
              <w:t>Tax Fees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1A475F"/>
              </w:rPr>
              <w:t>49,011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1A475F"/>
              </w:rPr>
              <w:t>146,981</w:t>
            </w:r>
          </w:p>
        </w:tc>
        <w:tc>
          <w:tcPr>
            <w:tcW w:w="4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1A475F"/>
              </w:rPr>
              <w:t>All Other Fees</w:t>
            </w:r>
          </w:p>
        </w:tc>
        <w:tc>
          <w:tcPr>
            <w:tcW w:w="19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1A475F"/>
              </w:rPr>
              <w:t>3,995</w:t>
            </w:r>
          </w:p>
        </w:tc>
        <w:tc>
          <w:tcPr>
            <w:tcW w:w="3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1A475F"/>
              </w:rPr>
              <w:t>1,895</w:t>
            </w:r>
          </w:p>
        </w:tc>
        <w:tc>
          <w:tcPr>
            <w:tcW w:w="4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1A475F"/>
              </w:rPr>
              <w:t>Total</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1A475F"/>
              </w:rPr>
              <w:t>$3,567,160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1A475F"/>
              </w:rPr>
              <w:t>$3,009,523</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5" w:lineRule="exact"/>
        <w:rPr>
          <w:sz w:val="20"/>
          <w:szCs w:val="20"/>
          <w:color w:val="auto"/>
        </w:rPr>
      </w:pPr>
    </w:p>
    <w:p>
      <w:pPr>
        <w:jc w:val="both"/>
        <w:ind w:left="2680" w:right="40" w:hanging="459"/>
        <w:spacing w:after="0" w:line="261" w:lineRule="auto"/>
        <w:tabs>
          <w:tab w:leader="none" w:pos="2680" w:val="left"/>
        </w:tabs>
        <w:numPr>
          <w:ilvl w:val="0"/>
          <w:numId w:val="83"/>
        </w:numPr>
        <w:rPr>
          <w:rFonts w:ascii="Arial" w:cs="Arial" w:eastAsia="Arial" w:hAnsi="Arial"/>
          <w:sz w:val="15"/>
          <w:szCs w:val="15"/>
          <w:color w:val="1A475F"/>
        </w:rPr>
      </w:pPr>
      <w:r>
        <w:rPr>
          <w:rFonts w:ascii="Arial" w:cs="Arial" w:eastAsia="Arial" w:hAnsi="Arial"/>
          <w:sz w:val="15"/>
          <w:szCs w:val="15"/>
          <w:i w:val="1"/>
          <w:iCs w:val="1"/>
          <w:color w:val="1A475F"/>
        </w:rPr>
        <w:t>Audit Fees</w:t>
      </w:r>
      <w:r>
        <w:rPr>
          <w:rFonts w:ascii="Arial" w:cs="Arial" w:eastAsia="Arial" w:hAnsi="Arial"/>
          <w:sz w:val="15"/>
          <w:szCs w:val="15"/>
          <w:color w:val="1A475F"/>
        </w:rPr>
        <w:t>. Consist of professional services rendered for the audit of our annual audited consolidated financial</w:t>
      </w:r>
      <w:r>
        <w:rPr>
          <w:rFonts w:ascii="Arial" w:cs="Arial" w:eastAsia="Arial" w:hAnsi="Arial"/>
          <w:sz w:val="15"/>
          <w:szCs w:val="15"/>
          <w:i w:val="1"/>
          <w:iCs w:val="1"/>
          <w:color w:val="1A475F"/>
        </w:rPr>
        <w:t xml:space="preserve"> </w:t>
      </w:r>
      <w:r>
        <w:rPr>
          <w:rFonts w:ascii="Arial" w:cs="Arial" w:eastAsia="Arial" w:hAnsi="Arial"/>
          <w:sz w:val="15"/>
          <w:szCs w:val="15"/>
          <w:color w:val="1A475F"/>
        </w:rPr>
        <w:t>statements and review of our quarterly financial statements, statutory audit services in the United Kingdom (in 2025 only), India and Australia, SEC filings and advice on accounting matters directly related to the audit.</w:t>
      </w:r>
    </w:p>
    <w:p>
      <w:pPr>
        <w:spacing w:after="0" w:line="16" w:lineRule="exact"/>
        <w:rPr>
          <w:rFonts w:ascii="Arial" w:cs="Arial" w:eastAsia="Arial" w:hAnsi="Arial"/>
          <w:sz w:val="15"/>
          <w:szCs w:val="15"/>
          <w:color w:val="1A475F"/>
        </w:rPr>
      </w:pPr>
    </w:p>
    <w:p>
      <w:pPr>
        <w:ind w:left="2680" w:hanging="459"/>
        <w:spacing w:after="0"/>
        <w:tabs>
          <w:tab w:leader="none" w:pos="2680" w:val="left"/>
        </w:tabs>
        <w:numPr>
          <w:ilvl w:val="0"/>
          <w:numId w:val="83"/>
        </w:numPr>
        <w:rPr>
          <w:rFonts w:ascii="Arial" w:cs="Arial" w:eastAsia="Arial" w:hAnsi="Arial"/>
          <w:sz w:val="15"/>
          <w:szCs w:val="15"/>
          <w:color w:val="1A475F"/>
        </w:rPr>
      </w:pPr>
      <w:r>
        <w:rPr>
          <w:rFonts w:ascii="Arial" w:cs="Arial" w:eastAsia="Arial" w:hAnsi="Arial"/>
          <w:sz w:val="15"/>
          <w:szCs w:val="15"/>
          <w:i w:val="1"/>
          <w:iCs w:val="1"/>
          <w:color w:val="1A475F"/>
        </w:rPr>
        <w:t xml:space="preserve">Audit-Related Fees. </w:t>
      </w:r>
      <w:r>
        <w:rPr>
          <w:rFonts w:ascii="Arial" w:cs="Arial" w:eastAsia="Arial" w:hAnsi="Arial"/>
          <w:sz w:val="15"/>
          <w:szCs w:val="15"/>
          <w:color w:val="1A475F"/>
        </w:rPr>
        <w:t>Consist of professional fees related to due diligence services in 2025.</w:t>
      </w:r>
    </w:p>
    <w:p>
      <w:pPr>
        <w:spacing w:after="0" w:line="59" w:lineRule="exact"/>
        <w:rPr>
          <w:rFonts w:ascii="Arial" w:cs="Arial" w:eastAsia="Arial" w:hAnsi="Arial"/>
          <w:sz w:val="15"/>
          <w:szCs w:val="15"/>
          <w:color w:val="1A475F"/>
        </w:rPr>
      </w:pPr>
    </w:p>
    <w:p>
      <w:pPr>
        <w:ind w:left="2680" w:hanging="459"/>
        <w:spacing w:after="0"/>
        <w:tabs>
          <w:tab w:leader="none" w:pos="2680" w:val="left"/>
        </w:tabs>
        <w:numPr>
          <w:ilvl w:val="0"/>
          <w:numId w:val="83"/>
        </w:numPr>
        <w:rPr>
          <w:rFonts w:ascii="Arial" w:cs="Arial" w:eastAsia="Arial" w:hAnsi="Arial"/>
          <w:sz w:val="15"/>
          <w:szCs w:val="15"/>
          <w:color w:val="1A475F"/>
        </w:rPr>
      </w:pPr>
      <w:r>
        <w:rPr>
          <w:rFonts w:ascii="Arial" w:cs="Arial" w:eastAsia="Arial" w:hAnsi="Arial"/>
          <w:sz w:val="15"/>
          <w:szCs w:val="15"/>
          <w:i w:val="1"/>
          <w:iCs w:val="1"/>
          <w:color w:val="1A475F"/>
        </w:rPr>
        <w:t>Tax Fees</w:t>
      </w:r>
      <w:r>
        <w:rPr>
          <w:rFonts w:ascii="Arial" w:cs="Arial" w:eastAsia="Arial" w:hAnsi="Arial"/>
          <w:sz w:val="15"/>
          <w:szCs w:val="15"/>
          <w:color w:val="1A475F"/>
        </w:rPr>
        <w:t>. Consist of fees for global tax compliance and tax advisory services.</w:t>
      </w:r>
    </w:p>
    <w:p>
      <w:pPr>
        <w:spacing w:after="0" w:line="59" w:lineRule="exact"/>
        <w:rPr>
          <w:rFonts w:ascii="Arial" w:cs="Arial" w:eastAsia="Arial" w:hAnsi="Arial"/>
          <w:sz w:val="15"/>
          <w:szCs w:val="15"/>
          <w:color w:val="1A475F"/>
        </w:rPr>
      </w:pPr>
    </w:p>
    <w:p>
      <w:pPr>
        <w:ind w:left="2680" w:hanging="459"/>
        <w:spacing w:after="0"/>
        <w:tabs>
          <w:tab w:leader="none" w:pos="2680" w:val="left"/>
        </w:tabs>
        <w:numPr>
          <w:ilvl w:val="0"/>
          <w:numId w:val="83"/>
        </w:numPr>
        <w:rPr>
          <w:rFonts w:ascii="Arial" w:cs="Arial" w:eastAsia="Arial" w:hAnsi="Arial"/>
          <w:sz w:val="15"/>
          <w:szCs w:val="15"/>
          <w:color w:val="1A475F"/>
        </w:rPr>
      </w:pPr>
      <w:r>
        <w:rPr>
          <w:rFonts w:ascii="Arial" w:cs="Arial" w:eastAsia="Arial" w:hAnsi="Arial"/>
          <w:sz w:val="15"/>
          <w:szCs w:val="15"/>
          <w:i w:val="1"/>
          <w:iCs w:val="1"/>
          <w:color w:val="1A475F"/>
        </w:rPr>
        <w:t xml:space="preserve">Other Fees. </w:t>
      </w:r>
      <w:r>
        <w:rPr>
          <w:rFonts w:ascii="Arial" w:cs="Arial" w:eastAsia="Arial" w:hAnsi="Arial"/>
          <w:sz w:val="15"/>
          <w:szCs w:val="15"/>
          <w:color w:val="1A475F"/>
        </w:rPr>
        <w:t>Consist of subscription fees for the Deloitte Accounting Research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142240</wp:posOffset>
            </wp:positionV>
            <wp:extent cx="5997575" cy="183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45"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Pre-Approval of Audit and Permitted Non-Audit Services</w:t>
      </w:r>
    </w:p>
    <w:p>
      <w:pPr>
        <w:spacing w:after="0" w:line="154" w:lineRule="exact"/>
        <w:rPr>
          <w:sz w:val="20"/>
          <w:szCs w:val="20"/>
          <w:color w:val="auto"/>
        </w:rPr>
      </w:pPr>
    </w:p>
    <w:p>
      <w:pPr>
        <w:ind w:left="900" w:firstLine="756"/>
        <w:spacing w:after="0" w:line="249" w:lineRule="auto"/>
        <w:rPr>
          <w:sz w:val="20"/>
          <w:szCs w:val="20"/>
          <w:color w:val="auto"/>
        </w:rPr>
      </w:pPr>
      <w:r>
        <w:rPr>
          <w:rFonts w:ascii="Arial" w:cs="Arial" w:eastAsia="Arial" w:hAnsi="Arial"/>
          <w:sz w:val="15"/>
          <w:szCs w:val="15"/>
          <w:color w:val="1A475F"/>
        </w:rPr>
        <w:t>The Audit Committee pre-approves all Deloitte audit services and all permitted non-audit services, including engagement fees and terms, to be provided by the independent auditors. The Audit Committee pre-approved 100% of the fees and services described above. Our policies prohibit Bright Horizons from engaging Deloitte to provide any non-audit services prohibited by applicable SEC rules. In addition, we evaluate whether Bright Horizons’ use of Deloitte for permitted non-audit services is compatible with maintaining Deloitte’s independence and objectivity. After review of the non-audit services provided, we concluded that Deloitte’s provision of these non-audit services, all of which were approved in advance, is compatible with its independence.</w:t>
      </w:r>
    </w:p>
    <w:p>
      <w:pPr>
        <w:spacing w:after="0" w:line="93"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60</w:t>
        <w:tab/>
        <w:t>|    Bright Horizons </w:t>
      </w:r>
    </w:p>
    <w:p>
      <w:pPr>
        <w:sectPr>
          <w:pgSz w:w="11900" w:h="16838" w:orient="portrait"/>
          <w:cols w:equalWidth="0" w:num="1">
            <w:col w:w="10240"/>
          </w:cols>
          <w:pgMar w:left="320" w:top="434" w:right="1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jc w:val="center"/>
        <w:ind w:right="-899"/>
        <w:spacing w:after="0"/>
        <w:rPr>
          <w:sz w:val="20"/>
          <w:szCs w:val="20"/>
          <w:color w:val="auto"/>
        </w:rPr>
      </w:pPr>
      <w:r>
        <w:rPr>
          <w:rFonts w:ascii="Arial" w:cs="Arial" w:eastAsia="Arial" w:hAnsi="Arial"/>
          <w:sz w:val="15"/>
          <w:szCs w:val="15"/>
          <w:b w:val="1"/>
          <w:bCs w:val="1"/>
          <w:color w:val="1A475F"/>
        </w:rPr>
        <w:t>PROPOSAL 3</w:t>
      </w:r>
    </w:p>
    <w:p>
      <w:pPr>
        <w:spacing w:after="0" w:line="186" w:lineRule="exact"/>
        <w:rPr>
          <w:sz w:val="20"/>
          <w:szCs w:val="20"/>
          <w:color w:val="auto"/>
        </w:rPr>
      </w:pPr>
    </w:p>
    <w:p>
      <w:pPr>
        <w:jc w:val="center"/>
        <w:ind w:right="-899"/>
        <w:spacing w:after="0"/>
        <w:rPr>
          <w:sz w:val="20"/>
          <w:szCs w:val="20"/>
          <w:color w:val="auto"/>
        </w:rPr>
      </w:pPr>
      <w:r>
        <w:rPr>
          <w:rFonts w:ascii="Arial" w:cs="Arial" w:eastAsia="Arial" w:hAnsi="Arial"/>
          <w:sz w:val="15"/>
          <w:szCs w:val="15"/>
          <w:b w:val="1"/>
          <w:bCs w:val="1"/>
          <w:color w:val="1A475F"/>
        </w:rPr>
        <w:t>RATIFICATION OF APPOINTMENT OF INDEPENDENT REGISTERED</w:t>
      </w:r>
    </w:p>
    <w:p>
      <w:pPr>
        <w:spacing w:after="0" w:line="17" w:lineRule="exact"/>
        <w:rPr>
          <w:sz w:val="20"/>
          <w:szCs w:val="20"/>
          <w:color w:val="auto"/>
        </w:rPr>
      </w:pPr>
    </w:p>
    <w:p>
      <w:pPr>
        <w:jc w:val="center"/>
        <w:ind w:right="-899"/>
        <w:spacing w:after="0"/>
        <w:rPr>
          <w:sz w:val="20"/>
          <w:szCs w:val="20"/>
          <w:color w:val="auto"/>
        </w:rPr>
      </w:pPr>
      <w:r>
        <w:rPr>
          <w:rFonts w:ascii="Arial" w:cs="Arial" w:eastAsia="Arial" w:hAnsi="Arial"/>
          <w:sz w:val="15"/>
          <w:szCs w:val="15"/>
          <w:b w:val="1"/>
          <w:bCs w:val="1"/>
          <w:color w:val="1A475F"/>
        </w:rPr>
        <w:t>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155575</wp:posOffset>
            </wp:positionV>
            <wp:extent cx="5997575"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97575" cy="146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900" w:right="60" w:firstLine="756"/>
        <w:spacing w:after="0" w:line="247" w:lineRule="auto"/>
        <w:rPr>
          <w:sz w:val="20"/>
          <w:szCs w:val="20"/>
          <w:color w:val="auto"/>
        </w:rPr>
      </w:pPr>
      <w:r>
        <w:rPr>
          <w:rFonts w:ascii="Arial" w:cs="Arial" w:eastAsia="Arial" w:hAnsi="Arial"/>
          <w:sz w:val="15"/>
          <w:szCs w:val="15"/>
          <w:color w:val="1A475F"/>
        </w:rPr>
        <w:t>The Audit Committee of the Board has appointed Deloitte &amp; Touche LLP as our independent registered public accounting firm for the fiscal year ending December 31, 2026. We are asking shareholders to ratify this appointment as we believe the reappointment of Deloitte is in the best interest of the Company and its shareholders. Although shareholder ratification of Deloitte is not required by law, the Board believes it is a good corporate governance practice and advisable to provide shareholders an opportunity to ratify this appointment. In the event that shareholders fail to ratify the appointment of Deloitte, the Audit Committee may reconsider the appointment. Even if the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62" w:lineRule="exact"/>
        <w:rPr>
          <w:sz w:val="20"/>
          <w:szCs w:val="20"/>
          <w:color w:val="auto"/>
        </w:rPr>
      </w:pPr>
    </w:p>
    <w:p>
      <w:pPr>
        <w:ind w:left="900" w:right="620" w:firstLine="756"/>
        <w:spacing w:after="0" w:line="282" w:lineRule="auto"/>
        <w:rPr>
          <w:sz w:val="20"/>
          <w:szCs w:val="20"/>
          <w:color w:val="auto"/>
        </w:rPr>
      </w:pPr>
      <w:r>
        <w:rPr>
          <w:rFonts w:ascii="Arial" w:cs="Arial" w:eastAsia="Arial" w:hAnsi="Arial"/>
          <w:sz w:val="15"/>
          <w:szCs w:val="15"/>
          <w:color w:val="1A475F"/>
        </w:rPr>
        <w:t>Representatives of Deloitte are expected to attend the Annual Meeting, where they will have the opportunity to make a statement if they wish to do so and will be available to answer questions from our shareholders.</w:t>
      </w:r>
    </w:p>
    <w:p>
      <w:pPr>
        <w:spacing w:after="0" w:line="35" w:lineRule="exact"/>
        <w:rPr>
          <w:sz w:val="20"/>
          <w:szCs w:val="20"/>
          <w:color w:val="auto"/>
        </w:rPr>
      </w:pPr>
    </w:p>
    <w:p>
      <w:pPr>
        <w:jc w:val="both"/>
        <w:ind w:left="900" w:right="40" w:firstLine="756"/>
        <w:spacing w:after="0" w:line="261" w:lineRule="auto"/>
        <w:rPr>
          <w:sz w:val="20"/>
          <w:szCs w:val="20"/>
          <w:color w:val="auto"/>
        </w:rPr>
      </w:pPr>
      <w:r>
        <w:rPr>
          <w:rFonts w:ascii="Arial" w:cs="Arial" w:eastAsia="Arial" w:hAnsi="Arial"/>
          <w:sz w:val="15"/>
          <w:szCs w:val="15"/>
          <w:color w:val="1A475F"/>
        </w:rPr>
        <w:t>The Audit Committee is directly responsible for the appointment, compensation (including approval of audit fees), retention and oversight of the independent registered public accounting firm that audits the Company’s financial statements and its internal control over financial reporting. Deloitte has served as our independent auditor since 2005.</w:t>
      </w:r>
    </w:p>
    <w:p>
      <w:pPr>
        <w:spacing w:after="0" w:line="51" w:lineRule="exact"/>
        <w:rPr>
          <w:sz w:val="20"/>
          <w:szCs w:val="20"/>
          <w:color w:val="auto"/>
        </w:rPr>
      </w:pPr>
    </w:p>
    <w:p>
      <w:pPr>
        <w:ind w:left="900" w:right="140" w:firstLine="756"/>
        <w:spacing w:after="0" w:line="261" w:lineRule="auto"/>
        <w:rPr>
          <w:sz w:val="20"/>
          <w:szCs w:val="20"/>
          <w:color w:val="auto"/>
        </w:rPr>
      </w:pPr>
      <w:r>
        <w:rPr>
          <w:rFonts w:ascii="Arial" w:cs="Arial" w:eastAsia="Arial" w:hAnsi="Arial"/>
          <w:sz w:val="15"/>
          <w:szCs w:val="15"/>
          <w:color w:val="1A475F"/>
        </w:rPr>
        <w:t>The Audit Committee annually evaluates our independent auditor and considers the independence, qualifications and performance of the independent auditor in deciding whether to reappoint. In the course of these reviews, the Audit Committee considers, among other things:</w:t>
      </w:r>
    </w:p>
    <w:p>
      <w:pPr>
        <w:spacing w:after="0" w:line="16" w:lineRule="exact"/>
        <w:rPr>
          <w:sz w:val="20"/>
          <w:szCs w:val="20"/>
          <w:color w:val="auto"/>
        </w:rPr>
      </w:pPr>
    </w:p>
    <w:p>
      <w:pPr>
        <w:ind w:left="1640" w:hanging="368"/>
        <w:spacing w:after="0"/>
        <w:tabs>
          <w:tab w:leader="none" w:pos="1640" w:val="left"/>
        </w:tabs>
        <w:numPr>
          <w:ilvl w:val="0"/>
          <w:numId w:val="84"/>
        </w:numPr>
        <w:rPr>
          <w:rFonts w:ascii="Arial" w:cs="Arial" w:eastAsia="Arial" w:hAnsi="Arial"/>
          <w:sz w:val="15"/>
          <w:szCs w:val="15"/>
          <w:color w:val="1A475F"/>
        </w:rPr>
      </w:pPr>
      <w:r>
        <w:rPr>
          <w:rFonts w:ascii="Arial" w:cs="Arial" w:eastAsia="Arial" w:hAnsi="Arial"/>
          <w:sz w:val="15"/>
          <w:szCs w:val="15"/>
          <w:color w:val="1A475F"/>
        </w:rPr>
        <w:t>Deloitte’s independence as well as their objectivity and professional skepticism.</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84"/>
        </w:numPr>
        <w:rPr>
          <w:rFonts w:ascii="Arial" w:cs="Arial" w:eastAsia="Arial" w:hAnsi="Arial"/>
          <w:sz w:val="15"/>
          <w:szCs w:val="15"/>
          <w:color w:val="1A475F"/>
        </w:rPr>
      </w:pPr>
      <w:r>
        <w:rPr>
          <w:rFonts w:ascii="Arial" w:cs="Arial" w:eastAsia="Arial" w:hAnsi="Arial"/>
          <w:sz w:val="15"/>
          <w:szCs w:val="15"/>
          <w:color w:val="1A475F"/>
        </w:rPr>
        <w:t>Deloitte’s tenure as the Company’s independent auditor.</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84"/>
        </w:numPr>
        <w:rPr>
          <w:rFonts w:ascii="Arial" w:cs="Arial" w:eastAsia="Arial" w:hAnsi="Arial"/>
          <w:sz w:val="15"/>
          <w:szCs w:val="15"/>
          <w:color w:val="1A475F"/>
        </w:rPr>
      </w:pPr>
      <w:r>
        <w:rPr>
          <w:rFonts w:ascii="Arial" w:cs="Arial" w:eastAsia="Arial" w:hAnsi="Arial"/>
          <w:sz w:val="15"/>
          <w:szCs w:val="15"/>
          <w:color w:val="1A475F"/>
        </w:rPr>
        <w:t>Historical and recent performance, responsiveness and overall support.</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84"/>
        </w:numPr>
        <w:rPr>
          <w:rFonts w:ascii="Arial" w:cs="Arial" w:eastAsia="Arial" w:hAnsi="Arial"/>
          <w:sz w:val="15"/>
          <w:szCs w:val="15"/>
          <w:color w:val="1A475F"/>
        </w:rPr>
      </w:pPr>
      <w:r>
        <w:rPr>
          <w:rFonts w:ascii="Arial" w:cs="Arial" w:eastAsia="Arial" w:hAnsi="Arial"/>
          <w:sz w:val="15"/>
          <w:szCs w:val="15"/>
          <w:color w:val="1A475F"/>
        </w:rPr>
        <w:t>Recent PCAOB reports on Deloitte.</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84"/>
        </w:numPr>
        <w:rPr>
          <w:rFonts w:ascii="Arial" w:cs="Arial" w:eastAsia="Arial" w:hAnsi="Arial"/>
          <w:sz w:val="15"/>
          <w:szCs w:val="15"/>
          <w:color w:val="1A475F"/>
        </w:rPr>
      </w:pPr>
      <w:r>
        <w:rPr>
          <w:rFonts w:ascii="Arial" w:cs="Arial" w:eastAsia="Arial" w:hAnsi="Arial"/>
          <w:sz w:val="15"/>
          <w:szCs w:val="15"/>
          <w:color w:val="1A475F"/>
        </w:rPr>
        <w:t>Management’s assessment of Deloitte’s performance and quality of service.</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84"/>
        </w:numPr>
        <w:rPr>
          <w:rFonts w:ascii="Arial" w:cs="Arial" w:eastAsia="Arial" w:hAnsi="Arial"/>
          <w:sz w:val="15"/>
          <w:szCs w:val="15"/>
          <w:color w:val="1A475F"/>
        </w:rPr>
      </w:pPr>
      <w:r>
        <w:rPr>
          <w:rFonts w:ascii="Arial" w:cs="Arial" w:eastAsia="Arial" w:hAnsi="Arial"/>
          <w:sz w:val="15"/>
          <w:szCs w:val="15"/>
          <w:color w:val="1A475F"/>
        </w:rPr>
        <w:t>Deloitte’s staff and its global reach, sufficiency of resources, and the engagement team’s knowledge and experience.</w:t>
      </w:r>
    </w:p>
    <w:p>
      <w:pPr>
        <w:spacing w:after="0" w:line="59" w:lineRule="exact"/>
        <w:rPr>
          <w:rFonts w:ascii="Arial" w:cs="Arial" w:eastAsia="Arial" w:hAnsi="Arial"/>
          <w:sz w:val="15"/>
          <w:szCs w:val="15"/>
          <w:color w:val="1A475F"/>
        </w:rPr>
      </w:pPr>
    </w:p>
    <w:p>
      <w:pPr>
        <w:ind w:left="1640" w:right="240" w:hanging="368"/>
        <w:spacing w:after="0" w:line="281" w:lineRule="auto"/>
        <w:tabs>
          <w:tab w:leader="none" w:pos="1640" w:val="left"/>
        </w:tabs>
        <w:numPr>
          <w:ilvl w:val="0"/>
          <w:numId w:val="84"/>
        </w:numPr>
        <w:rPr>
          <w:rFonts w:ascii="Arial" w:cs="Arial" w:eastAsia="Arial" w:hAnsi="Arial"/>
          <w:sz w:val="15"/>
          <w:szCs w:val="15"/>
          <w:color w:val="1A475F"/>
        </w:rPr>
      </w:pPr>
      <w:r>
        <w:rPr>
          <w:rFonts w:ascii="Arial" w:cs="Arial" w:eastAsia="Arial" w:hAnsi="Arial"/>
          <w:sz w:val="15"/>
          <w:szCs w:val="15"/>
          <w:color w:val="1A475F"/>
        </w:rPr>
        <w:t>Deloitte’s capability and expertise in handling the breadth and complexity of our operations and understanding our business, and the potential impact to the Company of changing auditors.</w:t>
      </w:r>
    </w:p>
    <w:p>
      <w:pPr>
        <w:spacing w:after="0" w:line="1" w:lineRule="exact"/>
        <w:rPr>
          <w:rFonts w:ascii="Arial" w:cs="Arial" w:eastAsia="Arial" w:hAnsi="Arial"/>
          <w:sz w:val="15"/>
          <w:szCs w:val="15"/>
          <w:color w:val="1A475F"/>
        </w:rPr>
      </w:pPr>
    </w:p>
    <w:p>
      <w:pPr>
        <w:ind w:left="1640" w:hanging="368"/>
        <w:spacing w:after="0"/>
        <w:tabs>
          <w:tab w:leader="none" w:pos="1640" w:val="left"/>
        </w:tabs>
        <w:numPr>
          <w:ilvl w:val="0"/>
          <w:numId w:val="84"/>
        </w:numPr>
        <w:rPr>
          <w:rFonts w:ascii="Arial" w:cs="Arial" w:eastAsia="Arial" w:hAnsi="Arial"/>
          <w:sz w:val="15"/>
          <w:szCs w:val="15"/>
          <w:color w:val="1A475F"/>
        </w:rPr>
      </w:pPr>
      <w:r>
        <w:rPr>
          <w:rFonts w:ascii="Arial" w:cs="Arial" w:eastAsia="Arial" w:hAnsi="Arial"/>
          <w:sz w:val="15"/>
          <w:szCs w:val="15"/>
          <w:color w:val="1A475F"/>
        </w:rPr>
        <w:t>Deloitte’s good faith approach to fees and expenses.</w:t>
      </w:r>
    </w:p>
    <w:p>
      <w:pPr>
        <w:spacing w:after="0" w:line="59" w:lineRule="exact"/>
        <w:rPr>
          <w:rFonts w:ascii="Arial" w:cs="Arial" w:eastAsia="Arial" w:hAnsi="Arial"/>
          <w:sz w:val="15"/>
          <w:szCs w:val="15"/>
          <w:color w:val="1A475F"/>
        </w:rPr>
      </w:pPr>
    </w:p>
    <w:p>
      <w:pPr>
        <w:ind w:left="1640" w:hanging="368"/>
        <w:spacing w:after="0"/>
        <w:tabs>
          <w:tab w:leader="none" w:pos="1640" w:val="left"/>
        </w:tabs>
        <w:numPr>
          <w:ilvl w:val="0"/>
          <w:numId w:val="84"/>
        </w:numPr>
        <w:rPr>
          <w:rFonts w:ascii="Arial" w:cs="Arial" w:eastAsia="Arial" w:hAnsi="Arial"/>
          <w:sz w:val="15"/>
          <w:szCs w:val="15"/>
          <w:color w:val="1A475F"/>
        </w:rPr>
      </w:pPr>
      <w:r>
        <w:rPr>
          <w:rFonts w:ascii="Arial" w:cs="Arial" w:eastAsia="Arial" w:hAnsi="Arial"/>
          <w:sz w:val="15"/>
          <w:szCs w:val="15"/>
          <w:color w:val="1A475F"/>
        </w:rPr>
        <w:t>Deloitte’s general reputation for adherence to professional auditing standards.</w:t>
      </w:r>
    </w:p>
    <w:p>
      <w:pPr>
        <w:spacing w:after="0" w:line="94" w:lineRule="exact"/>
        <w:rPr>
          <w:sz w:val="20"/>
          <w:szCs w:val="20"/>
          <w:color w:val="auto"/>
        </w:rPr>
      </w:pPr>
    </w:p>
    <w:p>
      <w:pPr>
        <w:ind w:left="900" w:right="300" w:firstLine="756"/>
        <w:spacing w:after="0" w:line="261" w:lineRule="auto"/>
        <w:rPr>
          <w:sz w:val="20"/>
          <w:szCs w:val="20"/>
          <w:color w:val="auto"/>
        </w:rPr>
      </w:pPr>
      <w:r>
        <w:rPr>
          <w:rFonts w:ascii="Arial" w:cs="Arial" w:eastAsia="Arial" w:hAnsi="Arial"/>
          <w:sz w:val="15"/>
          <w:szCs w:val="15"/>
          <w:color w:val="1A475F"/>
        </w:rPr>
        <w:t>Such consideration also includes reviewing the written disclosures and the letter required by applicable requirements of the PCAOB regarding the independent registered public accounting firm’s communications with the Audit Committee concerning independence.</w:t>
      </w:r>
    </w:p>
    <w:p>
      <w:pPr>
        <w:spacing w:after="0" w:line="51" w:lineRule="exact"/>
        <w:rPr>
          <w:sz w:val="20"/>
          <w:szCs w:val="20"/>
          <w:color w:val="auto"/>
        </w:rPr>
      </w:pPr>
    </w:p>
    <w:p>
      <w:pPr>
        <w:ind w:left="900" w:right="20" w:firstLine="756"/>
        <w:spacing w:after="0" w:line="255" w:lineRule="auto"/>
        <w:rPr>
          <w:sz w:val="20"/>
          <w:szCs w:val="20"/>
          <w:color w:val="auto"/>
        </w:rPr>
      </w:pPr>
      <w:r>
        <w:rPr>
          <w:rFonts w:ascii="Arial" w:cs="Arial" w:eastAsia="Arial" w:hAnsi="Arial"/>
          <w:sz w:val="15"/>
          <w:szCs w:val="15"/>
          <w:color w:val="1A475F"/>
        </w:rPr>
        <w:t>Additionally, the Audit Committee periodically reviews and evaluates the performance of Deloitte’s lead audit partner and oversees the required rotation of Deloitte’s lead audit partner as required by law. Consistent with applicable rules, a new lead audit partner was appointed for 2023. In order to help ensure auditor independence, the Audit Committee periodically considers whether there should be a rotation of the Company’s independent registered public accounting firm.</w:t>
      </w:r>
    </w:p>
    <w:p>
      <w:pPr>
        <w:spacing w:after="0" w:line="54" w:lineRule="exact"/>
        <w:rPr>
          <w:sz w:val="20"/>
          <w:szCs w:val="20"/>
          <w:color w:val="auto"/>
        </w:rPr>
      </w:pPr>
    </w:p>
    <w:p>
      <w:pPr>
        <w:jc w:val="both"/>
        <w:ind w:left="900" w:right="280" w:firstLine="756"/>
        <w:spacing w:after="0" w:line="261" w:lineRule="auto"/>
        <w:rPr>
          <w:sz w:val="20"/>
          <w:szCs w:val="20"/>
          <w:color w:val="auto"/>
        </w:rPr>
      </w:pPr>
      <w:r>
        <w:rPr>
          <w:rFonts w:ascii="Arial" w:cs="Arial" w:eastAsia="Arial" w:hAnsi="Arial"/>
          <w:sz w:val="15"/>
          <w:szCs w:val="15"/>
          <w:color w:val="1A475F"/>
        </w:rPr>
        <w:t>We reviewed and evaluated the performance of Deloitte in 2025 and based on this evaluation the Audit Committee believes that it is in the best interests of Bright Horizons and our shareholders to retain Deloitte as the independent registered public accounting firm for fiscal year 2026, which is being presented to Bright Horizons’ shareholders for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114935</wp:posOffset>
            </wp:positionV>
            <wp:extent cx="5997575" cy="183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2"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Vote Required</w:t>
      </w:r>
    </w:p>
    <w:p>
      <w:pPr>
        <w:spacing w:after="0" w:line="154" w:lineRule="exact"/>
        <w:rPr>
          <w:sz w:val="20"/>
          <w:szCs w:val="20"/>
          <w:color w:val="auto"/>
        </w:rPr>
      </w:pPr>
    </w:p>
    <w:p>
      <w:pPr>
        <w:ind w:left="900" w:right="120" w:firstLine="756"/>
        <w:spacing w:after="0" w:line="282" w:lineRule="auto"/>
        <w:rPr>
          <w:sz w:val="20"/>
          <w:szCs w:val="20"/>
          <w:color w:val="auto"/>
        </w:rPr>
      </w:pPr>
      <w:r>
        <w:rPr>
          <w:rFonts w:ascii="Arial" w:cs="Arial" w:eastAsia="Arial" w:hAnsi="Arial"/>
          <w:sz w:val="15"/>
          <w:szCs w:val="15"/>
          <w:color w:val="1A475F"/>
        </w:rPr>
        <w:t>The affirmative vote of a majority of the votes cast by the shareholders is required to ratify Deloitte’s appointment. Abstentions are not considered votes cast for the foregoing purpose, and will have no effect on the results of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104775</wp:posOffset>
            </wp:positionV>
            <wp:extent cx="6012815" cy="4997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12815" cy="499745"/>
                    </a:xfrm>
                    <a:prstGeom prst="rect">
                      <a:avLst/>
                    </a:prstGeom>
                    <a:noFill/>
                  </pic:spPr>
                </pic:pic>
              </a:graphicData>
            </a:graphic>
          </wp:anchor>
        </w:drawing>
      </w:r>
    </w:p>
    <w:p>
      <w:pPr>
        <w:spacing w:after="0" w:line="256" w:lineRule="exact"/>
        <w:rPr>
          <w:sz w:val="20"/>
          <w:szCs w:val="20"/>
          <w:color w:val="auto"/>
        </w:rPr>
      </w:pPr>
    </w:p>
    <w:p>
      <w:pPr>
        <w:ind w:left="1040" w:right="160" w:firstLine="398"/>
        <w:spacing w:after="0" w:line="182" w:lineRule="exact"/>
        <w:rPr>
          <w:sz w:val="20"/>
          <w:szCs w:val="20"/>
          <w:color w:val="auto"/>
        </w:rPr>
      </w:pPr>
      <w:r>
        <w:rPr>
          <w:rFonts w:ascii="Arial" w:cs="Arial" w:eastAsia="Arial" w:hAnsi="Arial"/>
          <w:sz w:val="15"/>
          <w:szCs w:val="15"/>
          <w:b w:val="1"/>
          <w:bCs w:val="1"/>
          <w:color w:val="1A475F"/>
        </w:rPr>
        <w:t xml:space="preserve">THE BOARD OF DIRECTORS RECOMMENDS A VOTE “FOR” PROPOSAL 3, THE RATIFICATION OF THE APPOINTMENT </w:t>
      </w:r>
      <w:r>
        <w:rPr>
          <w:rFonts w:ascii="MS PGothic" w:cs="MS PGothic" w:eastAsia="MS PGothic" w:hAnsi="MS PGothic"/>
          <w:sz w:val="21"/>
          <w:szCs w:val="21"/>
          <w:color w:val="1A475F"/>
        </w:rPr>
        <w:t>☑</w:t>
      </w:r>
      <w:r>
        <w:rPr>
          <w:rFonts w:ascii="Arial" w:cs="Arial" w:eastAsia="Arial" w:hAnsi="Arial"/>
          <w:sz w:val="21"/>
          <w:szCs w:val="21"/>
          <w:color w:val="1A475F"/>
        </w:rPr>
        <w:t xml:space="preserve">  </w:t>
      </w:r>
      <w:r>
        <w:rPr>
          <w:rFonts w:ascii="Arial" w:cs="Arial" w:eastAsia="Arial" w:hAnsi="Arial"/>
          <w:sz w:val="15"/>
          <w:szCs w:val="15"/>
          <w:b w:val="1"/>
          <w:bCs w:val="1"/>
          <w:color w:val="1A475F"/>
        </w:rPr>
        <w:t>OF DELOITTE &amp; TOUCHE LLP TO SERVE AS THE COMPANY’S INDEPENDENT REGISTERED PUBLIC ACCOUNTING</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1A475F"/>
        </w:rPr>
        <w:t>FIRM FOR THE FISCAL YEAR ENDING DECEMBER 31, 2026.</w:t>
      </w:r>
    </w:p>
    <w:p>
      <w:pPr>
        <w:spacing w:after="0" w:line="251"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61</w:t>
      </w:r>
    </w:p>
    <w:p>
      <w:pPr>
        <w:sectPr>
          <w:pgSz w:w="11900" w:h="16838" w:orient="portrait"/>
          <w:cols w:equalWidth="0" w:num="1">
            <w:col w:w="10340"/>
          </w:cols>
          <w:pgMar w:left="320" w:top="434" w:right="1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1A475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165735</wp:posOffset>
            </wp:positionV>
            <wp:extent cx="5997575" cy="14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97575" cy="146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334645</wp:posOffset>
            </wp:positionV>
            <wp:extent cx="5997575" cy="183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Shareholder Proposals for the 2027 Annual Meeting</w:t>
      </w:r>
    </w:p>
    <w:p>
      <w:pPr>
        <w:spacing w:after="0" w:line="154" w:lineRule="exact"/>
        <w:rPr>
          <w:sz w:val="20"/>
          <w:szCs w:val="20"/>
          <w:color w:val="auto"/>
        </w:rPr>
      </w:pPr>
    </w:p>
    <w:p>
      <w:pPr>
        <w:ind w:left="900" w:right="480" w:firstLine="756"/>
        <w:spacing w:after="0" w:line="261" w:lineRule="auto"/>
        <w:rPr>
          <w:sz w:val="20"/>
          <w:szCs w:val="20"/>
          <w:color w:val="auto"/>
        </w:rPr>
      </w:pPr>
      <w:r>
        <w:rPr>
          <w:rFonts w:ascii="Arial" w:cs="Arial" w:eastAsia="Arial" w:hAnsi="Arial"/>
          <w:sz w:val="15"/>
          <w:szCs w:val="15"/>
          <w:color w:val="1A475F"/>
        </w:rPr>
        <w:t>Our shareholders may submit a proposal to be considered for a vote at our 2027 Annual Meeting. If you wish to submit a proposal for consideration, you should adhere to the following procedures as prescribed in our Bylaws and Rule 14a-8 under the Exchange Act (“Rule 14a-8”).</w:t>
      </w:r>
    </w:p>
    <w:p>
      <w:pPr>
        <w:spacing w:after="0" w:line="51" w:lineRule="exact"/>
        <w:rPr>
          <w:sz w:val="20"/>
          <w:szCs w:val="20"/>
          <w:color w:val="auto"/>
        </w:rPr>
      </w:pPr>
    </w:p>
    <w:p>
      <w:pPr>
        <w:ind w:left="900" w:right="100" w:firstLine="756"/>
        <w:spacing w:after="0" w:line="251" w:lineRule="auto"/>
        <w:rPr>
          <w:sz w:val="20"/>
          <w:szCs w:val="20"/>
          <w:color w:val="auto"/>
        </w:rPr>
      </w:pPr>
      <w:r>
        <w:rPr>
          <w:rFonts w:ascii="Arial" w:cs="Arial" w:eastAsia="Arial" w:hAnsi="Arial"/>
          <w:sz w:val="15"/>
          <w:szCs w:val="15"/>
          <w:color w:val="1A475F"/>
        </w:rPr>
        <w:t>Under Rule 14a-8, a shareholder who intends to present a proposal at the 2027 Annual Meeting and who wishes the proposal to be included in the proxy materials for that meeting must submit the proposal in writing to us so that it is received by our Corporate Secretary no later than December 21, 2026. Please refer to Rule 14a-8 for the requirements that apply to these proposals. Any proposals received after this date will be considered untimely under Rule 14a-8. Written proposals may be mailed to us at Bright Horizons Family Solutions Inc., 2 Wells Avenue, Newton, MA 02459, Attn: Corporate Secretary.</w:t>
      </w:r>
    </w:p>
    <w:p>
      <w:pPr>
        <w:spacing w:after="0" w:line="59" w:lineRule="exact"/>
        <w:rPr>
          <w:sz w:val="20"/>
          <w:szCs w:val="20"/>
          <w:color w:val="auto"/>
        </w:rPr>
      </w:pPr>
    </w:p>
    <w:p>
      <w:pPr>
        <w:ind w:left="900" w:firstLine="756"/>
        <w:spacing w:after="0" w:line="246" w:lineRule="auto"/>
        <w:rPr>
          <w:sz w:val="20"/>
          <w:szCs w:val="20"/>
          <w:color w:val="auto"/>
        </w:rPr>
      </w:pPr>
      <w:r>
        <w:rPr>
          <w:rFonts w:ascii="Arial" w:cs="Arial" w:eastAsia="Arial" w:hAnsi="Arial"/>
          <w:sz w:val="15"/>
          <w:szCs w:val="15"/>
          <w:color w:val="1A475F"/>
        </w:rPr>
        <w:t>In addition, a shareholder may nominate a director or present any other proposal at the 2027 Annual Meeting by complying with the requirements set forth in Section 1.2 (Advance Notice of Nominations and Proposals of Business) of our Bylaws by providing written notice of the nomination or proposal to our Corporate Secretary no earlier than February 3, 2027 and no later than March 5, 2027. In addition to satisfying the foregoing requirements under our Bylaws, to comply with the SEC’s universal proxy rules, shareholders who intend to solicit proxies in support of director nominees other than the Company’s nominees must provide notice that sets forth the additional information required by Rule 14a-19 under the Exchange Act no earlier than February 3, 2027 and no later than March 5, 2027. Our Bylaws describe the requirements for submitting proposals at the 2027 Annual Meeting. The notice must be given in the manner and must include the information and representations required by our Bylaws. We reserve the right to reject, rule out of order, or take other appropriate action with respect to any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123825</wp:posOffset>
            </wp:positionV>
            <wp:extent cx="5997575" cy="1835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1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2025 Annual Report</w:t>
      </w:r>
    </w:p>
    <w:p>
      <w:pPr>
        <w:spacing w:after="0" w:line="154" w:lineRule="exact"/>
        <w:rPr>
          <w:sz w:val="20"/>
          <w:szCs w:val="20"/>
          <w:color w:val="auto"/>
        </w:rPr>
      </w:pPr>
    </w:p>
    <w:p>
      <w:pPr>
        <w:ind w:left="900" w:right="140" w:firstLine="756"/>
        <w:spacing w:after="0" w:line="255" w:lineRule="auto"/>
        <w:rPr>
          <w:sz w:val="20"/>
          <w:szCs w:val="20"/>
          <w:color w:val="auto"/>
        </w:rPr>
      </w:pPr>
      <w:r>
        <w:rPr>
          <w:rFonts w:ascii="Arial" w:cs="Arial" w:eastAsia="Arial" w:hAnsi="Arial"/>
          <w:sz w:val="15"/>
          <w:szCs w:val="15"/>
          <w:color w:val="1A475F"/>
        </w:rPr>
        <w:t xml:space="preserve">Our 2025 Annual Report (without exhibits and information incorporated by reference) is available without charge to each shareholder, upon written request to the Corporate Secretary at our principal executive offices at Bright Horizons Family Solutions Inc., 2 Wells Avenue, Newton, MA 02459, Attn: Corporate Secretary, and is also available on the Investor Relations section of our website at </w:t>
      </w:r>
      <w:r>
        <w:rPr>
          <w:rFonts w:ascii="Arial" w:cs="Arial" w:eastAsia="Arial" w:hAnsi="Arial"/>
          <w:sz w:val="15"/>
          <w:szCs w:val="15"/>
          <w:i w:val="1"/>
          <w:iCs w:val="1"/>
          <w:color w:val="1A475F"/>
        </w:rPr>
        <w:t xml:space="preserve">investors.brighthorizons.com </w:t>
      </w:r>
      <w:r>
        <w:rPr>
          <w:rFonts w:ascii="Arial" w:cs="Arial" w:eastAsia="Arial" w:hAnsi="Arial"/>
          <w:sz w:val="15"/>
          <w:szCs w:val="15"/>
          <w:color w:val="1A475F"/>
        </w:rPr>
        <w:t>under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117475</wp:posOffset>
            </wp:positionV>
            <wp:extent cx="5997575" cy="183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Shareholder Account Maintenance</w:t>
      </w:r>
    </w:p>
    <w:p>
      <w:pPr>
        <w:spacing w:after="0" w:line="154" w:lineRule="exact"/>
        <w:rPr>
          <w:sz w:val="20"/>
          <w:szCs w:val="20"/>
          <w:color w:val="auto"/>
        </w:rPr>
      </w:pPr>
    </w:p>
    <w:p>
      <w:pPr>
        <w:jc w:val="both"/>
        <w:ind w:left="900" w:right="320" w:firstLine="756"/>
        <w:spacing w:after="0" w:line="261" w:lineRule="auto"/>
        <w:rPr>
          <w:sz w:val="20"/>
          <w:szCs w:val="20"/>
          <w:color w:val="auto"/>
        </w:rPr>
      </w:pPr>
      <w:r>
        <w:rPr>
          <w:rFonts w:ascii="Arial" w:cs="Arial" w:eastAsia="Arial" w:hAnsi="Arial"/>
          <w:sz w:val="15"/>
          <w:szCs w:val="15"/>
          <w:color w:val="1A475F"/>
        </w:rPr>
        <w:t xml:space="preserve">Our transfer agent is Equiniti Trust Company. All communications concerning accounts of shareholders of record, including address changes, name changes, inquiries as to requirements to transfer Bright Horizons stock and similar issues, can be handled by calling EQ Shareowner Services toll-free at 1-800-468-9716 or by accessing Equiniti’s website at </w:t>
      </w:r>
      <w:r>
        <w:rPr>
          <w:rFonts w:ascii="Arial" w:cs="Arial" w:eastAsia="Arial" w:hAnsi="Arial"/>
          <w:sz w:val="15"/>
          <w:szCs w:val="15"/>
          <w:i w:val="1"/>
          <w:iCs w:val="1"/>
          <w:color w:val="1A475F"/>
        </w:rPr>
        <w:t>www.shareowneronline.com.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114935</wp:posOffset>
            </wp:positionV>
            <wp:extent cx="5997575" cy="183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2"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Householding of Proxy Materials</w:t>
      </w:r>
    </w:p>
    <w:p>
      <w:pPr>
        <w:spacing w:after="0" w:line="154" w:lineRule="exact"/>
        <w:rPr>
          <w:sz w:val="20"/>
          <w:szCs w:val="20"/>
          <w:color w:val="auto"/>
        </w:rPr>
      </w:pPr>
    </w:p>
    <w:p>
      <w:pPr>
        <w:ind w:left="900" w:right="40" w:firstLine="756"/>
        <w:spacing w:after="0" w:line="255" w:lineRule="auto"/>
        <w:rPr>
          <w:sz w:val="20"/>
          <w:szCs w:val="20"/>
          <w:color w:val="auto"/>
        </w:rPr>
      </w:pPr>
      <w:r>
        <w:rPr>
          <w:rFonts w:ascii="Arial" w:cs="Arial" w:eastAsia="Arial" w:hAnsi="Arial"/>
          <w:sz w:val="15"/>
          <w:szCs w:val="15"/>
          <w:color w:val="1A475F"/>
        </w:rPr>
        <w:t>Shareholders who have the same last name and address and who request paper copies of the proxy materials will receive only one copy unless one or more of them notify us that they wish to receive individual copies. This method of delivery, known as “householding,” will help ensure that shareholder households do not receive multiple copies of the same document, helping to reduce our printing and postage costs, as well as saving natural resources.</w:t>
      </w:r>
    </w:p>
    <w:p>
      <w:pPr>
        <w:spacing w:after="0" w:line="54" w:lineRule="exact"/>
        <w:rPr>
          <w:sz w:val="20"/>
          <w:szCs w:val="20"/>
          <w:color w:val="auto"/>
        </w:rPr>
      </w:pPr>
    </w:p>
    <w:p>
      <w:pPr>
        <w:ind w:left="900" w:right="40" w:firstLine="756"/>
        <w:spacing w:after="0" w:line="255" w:lineRule="auto"/>
        <w:rPr>
          <w:sz w:val="20"/>
          <w:szCs w:val="20"/>
          <w:color w:val="auto"/>
        </w:rPr>
      </w:pPr>
      <w:r>
        <w:rPr>
          <w:rFonts w:ascii="Arial" w:cs="Arial" w:eastAsia="Arial" w:hAnsi="Arial"/>
          <w:sz w:val="15"/>
          <w:szCs w:val="15"/>
          <w:color w:val="1A475F"/>
        </w:rPr>
        <w:t>We will deliver promptly, upon written or oral request, a separate copy of the Notice, this Proxy Statement and the 2025 Annual Report, as applicable, to a shareholder at a shared address to which a single copy of the document was delivered. Please direct such requests to our Corporate Secretary at Bright Horizons Family Solutions Inc., 2 Wells Avenue, Newton, MA 02459, Attention: Corporate Secretary, or call us at 1-617-673-8000.</w:t>
      </w:r>
    </w:p>
    <w:p>
      <w:pPr>
        <w:spacing w:after="0" w:line="54" w:lineRule="exact"/>
        <w:rPr>
          <w:sz w:val="20"/>
          <w:szCs w:val="20"/>
          <w:color w:val="auto"/>
        </w:rPr>
      </w:pPr>
    </w:p>
    <w:p>
      <w:pPr>
        <w:ind w:left="1660"/>
        <w:spacing w:after="0"/>
        <w:rPr>
          <w:sz w:val="20"/>
          <w:szCs w:val="20"/>
          <w:color w:val="auto"/>
        </w:rPr>
      </w:pPr>
      <w:r>
        <w:rPr>
          <w:rFonts w:ascii="Arial" w:cs="Arial" w:eastAsia="Arial" w:hAnsi="Arial"/>
          <w:sz w:val="15"/>
          <w:szCs w:val="15"/>
          <w:color w:val="1A475F"/>
        </w:rPr>
        <w:t>Shareholders of record may request to begin householding by contacting our Corporate Secretary at the contact details above.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1A475F"/>
        </w:rPr>
        <w:t>Shareholders owning their shares through a broker may request to begin householding by contacting their broker.</w:t>
      </w:r>
    </w:p>
    <w:p>
      <w:pPr>
        <w:spacing w:after="0" w:line="80" w:lineRule="exact"/>
        <w:rPr>
          <w:sz w:val="20"/>
          <w:szCs w:val="20"/>
          <w:color w:val="auto"/>
        </w:rPr>
      </w:pPr>
    </w:p>
    <w:p>
      <w:pPr>
        <w:ind w:left="900" w:right="240" w:firstLine="756"/>
        <w:spacing w:after="0" w:line="257" w:lineRule="auto"/>
        <w:rPr>
          <w:sz w:val="20"/>
          <w:szCs w:val="20"/>
          <w:color w:val="auto"/>
        </w:rPr>
      </w:pPr>
      <w:r>
        <w:rPr>
          <w:rFonts w:ascii="Arial" w:cs="Arial" w:eastAsia="Arial" w:hAnsi="Arial"/>
          <w:sz w:val="15"/>
          <w:szCs w:val="15"/>
          <w:color w:val="1A475F"/>
        </w:rPr>
        <w:t>To discontinue householding, please contact Broadridge Householding Department by calling their toll free number, 1-866-540-7095 or by writing to: Broadridge, Householding Department, 51 Mercedes Way, Edgewood, NY 11717. You will be removed from the householding program within 30 days of receipt of your instructions at which time you will then be sent separate copies of the documents.</w:t>
      </w:r>
    </w:p>
    <w:p>
      <w:pPr>
        <w:spacing w:after="0" w:line="266"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5"/>
          <w:szCs w:val="15"/>
          <w:b w:val="1"/>
          <w:bCs w:val="1"/>
          <w:color w:val="1A475F"/>
        </w:rPr>
        <w:t>62</w:t>
        <w:tab/>
        <w:t>|    Bright Horizons </w:t>
      </w:r>
    </w:p>
    <w:p>
      <w:pPr>
        <w:sectPr>
          <w:pgSz w:w="11900" w:h="16838" w:orient="portrait"/>
          <w:cols w:equalWidth="0" w:num="1">
            <w:col w:w="10340"/>
          </w:cols>
          <w:pgMar w:left="320" w:top="434" w:right="1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189230</wp:posOffset>
            </wp:positionV>
            <wp:extent cx="5997575" cy="183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Other Matters</w:t>
      </w:r>
    </w:p>
    <w:p>
      <w:pPr>
        <w:spacing w:after="0" w:line="154" w:lineRule="exact"/>
        <w:rPr>
          <w:sz w:val="20"/>
          <w:szCs w:val="20"/>
          <w:color w:val="auto"/>
        </w:rPr>
      </w:pPr>
    </w:p>
    <w:p>
      <w:pPr>
        <w:ind w:left="900" w:right="200" w:firstLine="756"/>
        <w:spacing w:after="0" w:line="255" w:lineRule="auto"/>
        <w:rPr>
          <w:sz w:val="20"/>
          <w:szCs w:val="20"/>
          <w:color w:val="auto"/>
        </w:rPr>
      </w:pPr>
      <w:r>
        <w:rPr>
          <w:rFonts w:ascii="Arial" w:cs="Arial" w:eastAsia="Arial" w:hAnsi="Arial"/>
          <w:sz w:val="15"/>
          <w:szCs w:val="15"/>
          <w:color w:val="1A475F"/>
        </w:rPr>
        <w:t>At the time of mailing of this Proxy Statement, we do not know of any other matter that may properly come before the Annual Meeting and do not intend to present any other matter. However, if any other matters properly come before the meeting or any adjournment, postponement, or continuation thereof, the persons named as proxies will have discretionary authority to vote the shares represented by the proxies in accordance with their own judgment, including the authority to vote to adjourn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117475</wp:posOffset>
            </wp:positionV>
            <wp:extent cx="5997575" cy="183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97575" cy="18351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1A475F"/>
        </w:rPr>
        <w:t>Cost of Solicitation</w:t>
      </w:r>
    </w:p>
    <w:p>
      <w:pPr>
        <w:spacing w:after="0" w:line="154" w:lineRule="exact"/>
        <w:rPr>
          <w:sz w:val="20"/>
          <w:szCs w:val="20"/>
          <w:color w:val="auto"/>
        </w:rPr>
      </w:pPr>
    </w:p>
    <w:p>
      <w:pPr>
        <w:ind w:left="900" w:firstLine="756"/>
        <w:spacing w:after="0" w:line="248" w:lineRule="auto"/>
        <w:rPr>
          <w:sz w:val="20"/>
          <w:szCs w:val="20"/>
          <w:color w:val="auto"/>
        </w:rPr>
      </w:pPr>
      <w:r>
        <w:rPr>
          <w:rFonts w:ascii="Arial" w:cs="Arial" w:eastAsia="Arial" w:hAnsi="Arial"/>
          <w:sz w:val="15"/>
          <w:szCs w:val="15"/>
          <w:color w:val="1A475F"/>
        </w:rPr>
        <w:t>The enclosed proxy is being solicited by the Board and we will bear the cost of solicitation of proxies. Our officers, directors and other employees may, without additional remuneration, assist in soliciting proxies by mail, telephone, e-mail, text message and personal interview. We reserve the right to retain outside agencies for the purpose of soliciting proxies. We may also request brokerage houses, custodians, nominees and fiduciaries to forward copies of proxy materials to those persons for whom they hold shares and request instructions for voting the proxies. If applicable, we will reimburse them for their out-of-pocket expenses in connection with this distribution to beneficial owners of our common stock. We have retained Alliance Advisors, a proxy solicitation firm, to assist in the solicitation of proxies for a fee of $17,000, plus reimbursement of expenses and processing fees and charges.</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420" w:val="left"/>
          <w:tab w:leader="none" w:pos="140" w:val="left"/>
        </w:tabs>
        <w:rPr>
          <w:sz w:val="20"/>
          <w:szCs w:val="20"/>
          <w:color w:val="auto"/>
        </w:rPr>
      </w:pPr>
      <w:r>
        <w:rPr>
          <w:rFonts w:ascii="Arial" w:cs="Arial" w:eastAsia="Arial" w:hAnsi="Arial"/>
          <w:sz w:val="15"/>
          <w:szCs w:val="15"/>
          <w:b w:val="1"/>
          <w:bCs w:val="1"/>
          <w:color w:val="1A475F"/>
        </w:rPr>
        <w:t>  2026 Proxy Statement </w:t>
        <w:tab/>
        <w:t>|</w:t>
      </w:r>
      <w:r>
        <w:rPr>
          <w:sz w:val="20"/>
          <w:szCs w:val="20"/>
          <w:color w:val="auto"/>
        </w:rPr>
        <w:tab/>
      </w:r>
      <w:r>
        <w:rPr>
          <w:rFonts w:ascii="Arial" w:cs="Arial" w:eastAsia="Arial" w:hAnsi="Arial"/>
          <w:sz w:val="14"/>
          <w:szCs w:val="14"/>
          <w:b w:val="1"/>
          <w:bCs w:val="1"/>
          <w:color w:val="1A475F"/>
        </w:rPr>
        <w:t>63</w:t>
      </w:r>
    </w:p>
    <w:p>
      <w:pPr>
        <w:sectPr>
          <w:pgSz w:w="11900" w:h="16838" w:orient="portrait"/>
          <w:cols w:equalWidth="0" w:num="1">
            <w:col w:w="10340"/>
          </w:cols>
          <w:pgMar w:left="320" w:top="434" w:right="1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5"/>
                <w:szCs w:val="15"/>
                <w:b w:val="1"/>
                <w:bCs w:val="1"/>
                <w:color w:val="1A475F"/>
              </w:rPr>
              <w:t>Appendix A</w:t>
            </w:r>
          </w:p>
        </w:tc>
      </w:tr>
      <w:tr>
        <w:trPr>
          <w:trHeight w:val="359"/>
        </w:trPr>
        <w:tc>
          <w:tcPr>
            <w:tcW w:w="2180" w:type="dxa"/>
            <w:vAlign w:val="bottom"/>
          </w:tcPr>
          <w:p>
            <w:pPr>
              <w:spacing w:after="0"/>
              <w:rPr>
                <w:sz w:val="24"/>
                <w:szCs w:val="24"/>
                <w:color w:val="auto"/>
              </w:rPr>
            </w:pPr>
          </w:p>
        </w:tc>
        <w:tc>
          <w:tcPr>
            <w:tcW w:w="4740" w:type="dxa"/>
            <w:vAlign w:val="bottom"/>
            <w:gridSpan w:val="2"/>
          </w:tcPr>
          <w:p>
            <w:pPr>
              <w:ind w:left="960"/>
              <w:spacing w:after="0"/>
              <w:rPr>
                <w:sz w:val="20"/>
                <w:szCs w:val="20"/>
                <w:color w:val="auto"/>
              </w:rPr>
            </w:pPr>
            <w:r>
              <w:rPr>
                <w:rFonts w:ascii="Arial" w:cs="Arial" w:eastAsia="Arial" w:hAnsi="Arial"/>
                <w:sz w:val="15"/>
                <w:szCs w:val="15"/>
                <w:b w:val="1"/>
                <w:bCs w:val="1"/>
                <w:color w:val="1A475F"/>
              </w:rPr>
              <w:t>Russell MidCap Growth Index Constituents</w:t>
            </w: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66"/>
        </w:trPr>
        <w:tc>
          <w:tcPr>
            <w:tcW w:w="2180" w:type="dxa"/>
            <w:vAlign w:val="bottom"/>
          </w:tcPr>
          <w:p>
            <w:pPr>
              <w:spacing w:after="0"/>
              <w:rPr>
                <w:sz w:val="23"/>
                <w:szCs w:val="23"/>
                <w:color w:val="auto"/>
              </w:rPr>
            </w:pPr>
          </w:p>
        </w:tc>
        <w:tc>
          <w:tcPr>
            <w:tcW w:w="4740" w:type="dxa"/>
            <w:vAlign w:val="bottom"/>
            <w:gridSpan w:val="2"/>
          </w:tcPr>
          <w:p>
            <w:pPr>
              <w:ind w:left="1640"/>
              <w:spacing w:after="0"/>
              <w:rPr>
                <w:sz w:val="20"/>
                <w:szCs w:val="20"/>
                <w:color w:val="auto"/>
              </w:rPr>
            </w:pPr>
            <w:r>
              <w:rPr>
                <w:rFonts w:ascii="Arial" w:cs="Arial" w:eastAsia="Arial" w:hAnsi="Arial"/>
                <w:sz w:val="15"/>
                <w:szCs w:val="15"/>
                <w:b w:val="1"/>
                <w:bCs w:val="1"/>
                <w:color w:val="1A475F"/>
              </w:rPr>
              <w:t>as of December 31, 2025</w:t>
            </w:r>
          </w:p>
        </w:tc>
        <w:tc>
          <w:tcPr>
            <w:tcW w:w="224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318"/>
        </w:trPr>
        <w:tc>
          <w:tcPr>
            <w:tcW w:w="2180" w:type="dxa"/>
            <w:vAlign w:val="bottom"/>
          </w:tcPr>
          <w:p>
            <w:pPr>
              <w:spacing w:after="0"/>
              <w:rPr>
                <w:sz w:val="20"/>
                <w:szCs w:val="20"/>
                <w:color w:val="auto"/>
              </w:rPr>
            </w:pPr>
            <w:r>
              <w:rPr>
                <w:rFonts w:ascii="Arial" w:cs="Arial" w:eastAsia="Arial" w:hAnsi="Arial"/>
                <w:sz w:val="12"/>
                <w:szCs w:val="12"/>
                <w:color w:val="1A475F"/>
              </w:rPr>
              <w:t>Aaon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Doximity</w:t>
            </w:r>
          </w:p>
        </w:tc>
        <w:tc>
          <w:tcPr>
            <w:tcW w:w="2400" w:type="dxa"/>
            <w:vAlign w:val="bottom"/>
          </w:tcPr>
          <w:p>
            <w:pPr>
              <w:ind w:left="300"/>
              <w:spacing w:after="0"/>
              <w:rPr>
                <w:sz w:val="20"/>
                <w:szCs w:val="20"/>
                <w:color w:val="auto"/>
              </w:rPr>
            </w:pPr>
            <w:r>
              <w:rPr>
                <w:rFonts w:ascii="Arial" w:cs="Arial" w:eastAsia="Arial" w:hAnsi="Arial"/>
                <w:sz w:val="12"/>
                <w:szCs w:val="12"/>
                <w:color w:val="1A475F"/>
              </w:rPr>
              <w:t>Liberty Broadband Series A</w:t>
            </w:r>
          </w:p>
        </w:tc>
        <w:tc>
          <w:tcPr>
            <w:tcW w:w="2240" w:type="dxa"/>
            <w:vAlign w:val="bottom"/>
          </w:tcPr>
          <w:p>
            <w:pPr>
              <w:ind w:left="360"/>
              <w:spacing w:after="0"/>
              <w:rPr>
                <w:sz w:val="20"/>
                <w:szCs w:val="20"/>
                <w:color w:val="auto"/>
              </w:rPr>
            </w:pPr>
            <w:r>
              <w:rPr>
                <w:rFonts w:ascii="Arial" w:cs="Arial" w:eastAsia="Arial" w:hAnsi="Arial"/>
                <w:sz w:val="12"/>
                <w:szCs w:val="12"/>
                <w:color w:val="1A475F"/>
              </w:rPr>
              <w:t>Rubrik Inc</w:t>
            </w:r>
          </w:p>
        </w:tc>
        <w:tc>
          <w:tcPr>
            <w:tcW w:w="280" w:type="dxa"/>
            <w:vAlign w:val="bottom"/>
          </w:tcPr>
          <w:p>
            <w:pPr>
              <w:spacing w:after="0"/>
              <w:rPr>
                <w:sz w:val="24"/>
                <w:szCs w:val="24"/>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Affirm Holdings</w:t>
            </w:r>
          </w:p>
        </w:tc>
        <w:tc>
          <w:tcPr>
            <w:tcW w:w="2340" w:type="dxa"/>
            <w:vAlign w:val="bottom"/>
          </w:tcPr>
          <w:p>
            <w:pPr>
              <w:ind w:left="280"/>
              <w:spacing w:after="0"/>
              <w:rPr>
                <w:sz w:val="20"/>
                <w:szCs w:val="20"/>
                <w:color w:val="auto"/>
              </w:rPr>
            </w:pPr>
            <w:r>
              <w:rPr>
                <w:rFonts w:ascii="Arial" w:cs="Arial" w:eastAsia="Arial" w:hAnsi="Arial"/>
                <w:sz w:val="12"/>
                <w:szCs w:val="12"/>
                <w:color w:val="1A475F"/>
              </w:rPr>
              <w:t>Draftkings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Liberty Broadband Series C</w:t>
            </w:r>
          </w:p>
        </w:tc>
        <w:tc>
          <w:tcPr>
            <w:tcW w:w="2240" w:type="dxa"/>
            <w:vAlign w:val="bottom"/>
          </w:tcPr>
          <w:p>
            <w:pPr>
              <w:ind w:left="360"/>
              <w:spacing w:after="0"/>
              <w:rPr>
                <w:sz w:val="20"/>
                <w:szCs w:val="20"/>
                <w:color w:val="auto"/>
              </w:rPr>
            </w:pPr>
            <w:r>
              <w:rPr>
                <w:rFonts w:ascii="Arial" w:cs="Arial" w:eastAsia="Arial" w:hAnsi="Arial"/>
                <w:sz w:val="12"/>
                <w:szCs w:val="12"/>
                <w:color w:val="1A475F"/>
              </w:rPr>
              <w:t>Ryan Specialty Holdings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Alaska Air Group</w:t>
            </w:r>
          </w:p>
        </w:tc>
        <w:tc>
          <w:tcPr>
            <w:tcW w:w="2340" w:type="dxa"/>
            <w:vAlign w:val="bottom"/>
          </w:tcPr>
          <w:p>
            <w:pPr>
              <w:ind w:left="280"/>
              <w:spacing w:after="0"/>
              <w:rPr>
                <w:sz w:val="20"/>
                <w:szCs w:val="20"/>
                <w:color w:val="auto"/>
              </w:rPr>
            </w:pPr>
            <w:r>
              <w:rPr>
                <w:rFonts w:ascii="Arial" w:cs="Arial" w:eastAsia="Arial" w:hAnsi="Arial"/>
                <w:sz w:val="12"/>
                <w:szCs w:val="12"/>
                <w:color w:val="1A475F"/>
              </w:rPr>
              <w:t>Dropbox</w:t>
            </w:r>
          </w:p>
        </w:tc>
        <w:tc>
          <w:tcPr>
            <w:tcW w:w="2400" w:type="dxa"/>
            <w:vAlign w:val="bottom"/>
          </w:tcPr>
          <w:p>
            <w:pPr>
              <w:ind w:left="300"/>
              <w:spacing w:after="0"/>
              <w:rPr>
                <w:sz w:val="20"/>
                <w:szCs w:val="20"/>
                <w:color w:val="auto"/>
              </w:rPr>
            </w:pPr>
            <w:r>
              <w:rPr>
                <w:rFonts w:ascii="Arial" w:cs="Arial" w:eastAsia="Arial" w:hAnsi="Arial"/>
                <w:sz w:val="12"/>
                <w:szCs w:val="12"/>
                <w:color w:val="1A475F"/>
              </w:rPr>
              <w:t>Liberty Formula One Series A</w:t>
            </w:r>
          </w:p>
        </w:tc>
        <w:tc>
          <w:tcPr>
            <w:tcW w:w="2240" w:type="dxa"/>
            <w:vAlign w:val="bottom"/>
          </w:tcPr>
          <w:p>
            <w:pPr>
              <w:ind w:left="360"/>
              <w:spacing w:after="0"/>
              <w:rPr>
                <w:sz w:val="20"/>
                <w:szCs w:val="20"/>
                <w:color w:val="auto"/>
              </w:rPr>
            </w:pPr>
            <w:r>
              <w:rPr>
                <w:rFonts w:ascii="Arial" w:cs="Arial" w:eastAsia="Arial" w:hAnsi="Arial"/>
                <w:sz w:val="12"/>
                <w:szCs w:val="12"/>
                <w:color w:val="1A475F"/>
              </w:rPr>
              <w:t>Samsara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Allison Transmission</w:t>
            </w:r>
          </w:p>
        </w:tc>
        <w:tc>
          <w:tcPr>
            <w:tcW w:w="2340" w:type="dxa"/>
            <w:vAlign w:val="bottom"/>
          </w:tcPr>
          <w:p>
            <w:pPr>
              <w:ind w:left="280"/>
              <w:spacing w:after="0"/>
              <w:rPr>
                <w:sz w:val="20"/>
                <w:szCs w:val="20"/>
                <w:color w:val="auto"/>
              </w:rPr>
            </w:pPr>
            <w:r>
              <w:rPr>
                <w:rFonts w:ascii="Arial" w:cs="Arial" w:eastAsia="Arial" w:hAnsi="Arial"/>
                <w:sz w:val="12"/>
                <w:szCs w:val="12"/>
                <w:color w:val="1A475F"/>
              </w:rPr>
              <w:t>Duolingo</w:t>
            </w:r>
          </w:p>
        </w:tc>
        <w:tc>
          <w:tcPr>
            <w:tcW w:w="2400" w:type="dxa"/>
            <w:vAlign w:val="bottom"/>
          </w:tcPr>
          <w:p>
            <w:pPr>
              <w:ind w:left="300"/>
              <w:spacing w:after="0"/>
              <w:rPr>
                <w:sz w:val="20"/>
                <w:szCs w:val="20"/>
                <w:color w:val="auto"/>
              </w:rPr>
            </w:pPr>
            <w:r>
              <w:rPr>
                <w:rFonts w:ascii="Arial" w:cs="Arial" w:eastAsia="Arial" w:hAnsi="Arial"/>
                <w:sz w:val="12"/>
                <w:szCs w:val="12"/>
                <w:color w:val="1A475F"/>
              </w:rPr>
              <w:t>Liberty Formula One Series C</w:t>
            </w:r>
          </w:p>
        </w:tc>
        <w:tc>
          <w:tcPr>
            <w:tcW w:w="2240" w:type="dxa"/>
            <w:vAlign w:val="bottom"/>
          </w:tcPr>
          <w:p>
            <w:pPr>
              <w:ind w:left="360"/>
              <w:spacing w:after="0"/>
              <w:rPr>
                <w:sz w:val="20"/>
                <w:szCs w:val="20"/>
                <w:color w:val="auto"/>
              </w:rPr>
            </w:pPr>
            <w:r>
              <w:rPr>
                <w:rFonts w:ascii="Arial" w:cs="Arial" w:eastAsia="Arial" w:hAnsi="Arial"/>
                <w:sz w:val="12"/>
                <w:szCs w:val="12"/>
                <w:color w:val="1A475F"/>
              </w:rPr>
              <w:t>Sarepta Therapeutics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Ally Finl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Dutch Bros</w:t>
            </w:r>
          </w:p>
        </w:tc>
        <w:tc>
          <w:tcPr>
            <w:tcW w:w="2400" w:type="dxa"/>
            <w:vAlign w:val="bottom"/>
          </w:tcPr>
          <w:p>
            <w:pPr>
              <w:ind w:left="300"/>
              <w:spacing w:after="0"/>
              <w:rPr>
                <w:sz w:val="20"/>
                <w:szCs w:val="20"/>
                <w:color w:val="auto"/>
              </w:rPr>
            </w:pPr>
            <w:r>
              <w:rPr>
                <w:rFonts w:ascii="Arial" w:cs="Arial" w:eastAsia="Arial" w:hAnsi="Arial"/>
                <w:sz w:val="12"/>
                <w:szCs w:val="12"/>
                <w:color w:val="1A475F"/>
              </w:rPr>
              <w:t>Lithia Motors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SentinelOne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Alnylam Pharmaceuticals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Dynatrace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Live Nation Entertainment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Sharkninja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American Airlines</w:t>
            </w:r>
          </w:p>
        </w:tc>
        <w:tc>
          <w:tcPr>
            <w:tcW w:w="2340" w:type="dxa"/>
            <w:vAlign w:val="bottom"/>
          </w:tcPr>
          <w:p>
            <w:pPr>
              <w:ind w:left="280"/>
              <w:spacing w:after="0"/>
              <w:rPr>
                <w:sz w:val="20"/>
                <w:szCs w:val="20"/>
                <w:color w:val="auto"/>
              </w:rPr>
            </w:pPr>
            <w:r>
              <w:rPr>
                <w:rFonts w:ascii="Arial" w:cs="Arial" w:eastAsia="Arial" w:hAnsi="Arial"/>
                <w:sz w:val="12"/>
                <w:szCs w:val="12"/>
                <w:color w:val="1A475F"/>
              </w:rPr>
              <w:t>Eagle Materials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Loar Holdings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Shift4 Payments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Ameriprise Financial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Elastic N.V.</w:t>
            </w:r>
          </w:p>
        </w:tc>
        <w:tc>
          <w:tcPr>
            <w:tcW w:w="2400" w:type="dxa"/>
            <w:vAlign w:val="bottom"/>
          </w:tcPr>
          <w:p>
            <w:pPr>
              <w:ind w:left="300"/>
              <w:spacing w:after="0"/>
              <w:rPr>
                <w:sz w:val="20"/>
                <w:szCs w:val="20"/>
                <w:color w:val="auto"/>
              </w:rPr>
            </w:pPr>
            <w:r>
              <w:rPr>
                <w:rFonts w:ascii="Arial" w:cs="Arial" w:eastAsia="Arial" w:hAnsi="Arial"/>
                <w:sz w:val="12"/>
                <w:szCs w:val="12"/>
                <w:color w:val="1A475F"/>
              </w:rPr>
              <w:t>Lpl Financial Holdings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Simon Property Group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Anglogold Ashanti</w:t>
            </w:r>
          </w:p>
        </w:tc>
        <w:tc>
          <w:tcPr>
            <w:tcW w:w="2340" w:type="dxa"/>
            <w:vAlign w:val="bottom"/>
          </w:tcPr>
          <w:p>
            <w:pPr>
              <w:ind w:left="280"/>
              <w:spacing w:after="0"/>
              <w:rPr>
                <w:sz w:val="20"/>
                <w:szCs w:val="20"/>
                <w:color w:val="auto"/>
              </w:rPr>
            </w:pPr>
            <w:r>
              <w:rPr>
                <w:rFonts w:ascii="Arial" w:cs="Arial" w:eastAsia="Arial" w:hAnsi="Arial"/>
                <w:sz w:val="12"/>
                <w:szCs w:val="12"/>
                <w:color w:val="1A475F"/>
              </w:rPr>
              <w:t>Emcor Group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Lululemon Athletica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Simpson Manufacturing Co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Apellis Pharmaceuticals</w:t>
            </w:r>
          </w:p>
        </w:tc>
        <w:tc>
          <w:tcPr>
            <w:tcW w:w="2340" w:type="dxa"/>
            <w:vAlign w:val="bottom"/>
          </w:tcPr>
          <w:p>
            <w:pPr>
              <w:ind w:left="280"/>
              <w:spacing w:after="0"/>
              <w:rPr>
                <w:sz w:val="20"/>
                <w:szCs w:val="20"/>
                <w:color w:val="auto"/>
              </w:rPr>
            </w:pPr>
            <w:r>
              <w:rPr>
                <w:rFonts w:ascii="Arial" w:cs="Arial" w:eastAsia="Arial" w:hAnsi="Arial"/>
                <w:sz w:val="12"/>
                <w:szCs w:val="12"/>
                <w:color w:val="1A475F"/>
              </w:rPr>
              <w:t>Enphase Energy</w:t>
            </w:r>
          </w:p>
        </w:tc>
        <w:tc>
          <w:tcPr>
            <w:tcW w:w="2400" w:type="dxa"/>
            <w:vAlign w:val="bottom"/>
          </w:tcPr>
          <w:p>
            <w:pPr>
              <w:ind w:left="300"/>
              <w:spacing w:after="0"/>
              <w:rPr>
                <w:sz w:val="20"/>
                <w:szCs w:val="20"/>
                <w:color w:val="auto"/>
              </w:rPr>
            </w:pPr>
            <w:r>
              <w:rPr>
                <w:rFonts w:ascii="Arial" w:cs="Arial" w:eastAsia="Arial" w:hAnsi="Arial"/>
                <w:sz w:val="12"/>
                <w:szCs w:val="12"/>
                <w:color w:val="1A475F"/>
              </w:rPr>
              <w:t>Lumentum Holdings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SiteOne Landscape Supply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Appfolio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Entegris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Lyft</w:t>
            </w:r>
          </w:p>
        </w:tc>
        <w:tc>
          <w:tcPr>
            <w:tcW w:w="2240" w:type="dxa"/>
            <w:vAlign w:val="bottom"/>
          </w:tcPr>
          <w:p>
            <w:pPr>
              <w:ind w:left="360"/>
              <w:spacing w:after="0"/>
              <w:rPr>
                <w:sz w:val="20"/>
                <w:szCs w:val="20"/>
                <w:color w:val="auto"/>
              </w:rPr>
            </w:pPr>
            <w:r>
              <w:rPr>
                <w:rFonts w:ascii="Arial" w:cs="Arial" w:eastAsia="Arial" w:hAnsi="Arial"/>
                <w:sz w:val="12"/>
                <w:szCs w:val="12"/>
                <w:color w:val="1A475F"/>
              </w:rPr>
              <w:t>Slm Corp</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Ares Management</w:t>
            </w:r>
          </w:p>
        </w:tc>
        <w:tc>
          <w:tcPr>
            <w:tcW w:w="2340" w:type="dxa"/>
            <w:vAlign w:val="bottom"/>
          </w:tcPr>
          <w:p>
            <w:pPr>
              <w:ind w:left="280"/>
              <w:spacing w:after="0"/>
              <w:rPr>
                <w:sz w:val="20"/>
                <w:szCs w:val="20"/>
                <w:color w:val="auto"/>
              </w:rPr>
            </w:pPr>
            <w:r>
              <w:rPr>
                <w:rFonts w:ascii="Arial" w:cs="Arial" w:eastAsia="Arial" w:hAnsi="Arial"/>
                <w:sz w:val="12"/>
                <w:szCs w:val="12"/>
                <w:color w:val="1A475F"/>
              </w:rPr>
              <w:t>Equifax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MACOM Technology Solutions</w:t>
            </w:r>
          </w:p>
        </w:tc>
        <w:tc>
          <w:tcPr>
            <w:tcW w:w="2240" w:type="dxa"/>
            <w:vAlign w:val="bottom"/>
          </w:tcPr>
          <w:p>
            <w:pPr>
              <w:ind w:left="360"/>
              <w:spacing w:after="0"/>
              <w:rPr>
                <w:sz w:val="20"/>
                <w:szCs w:val="20"/>
                <w:color w:val="auto"/>
              </w:rPr>
            </w:pPr>
            <w:r>
              <w:rPr>
                <w:rFonts w:ascii="Arial" w:cs="Arial" w:eastAsia="Arial" w:hAnsi="Arial"/>
                <w:sz w:val="12"/>
                <w:szCs w:val="12"/>
                <w:color w:val="1A475F"/>
              </w:rPr>
              <w:t>Sofi Technologies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00" w:type="dxa"/>
            <w:vAlign w:val="bottom"/>
          </w:tcPr>
          <w:p>
            <w:pPr>
              <w:ind w:left="300"/>
              <w:spacing w:after="0"/>
              <w:rPr>
                <w:sz w:val="20"/>
                <w:szCs w:val="20"/>
                <w:color w:val="auto"/>
              </w:rPr>
            </w:pPr>
            <w:r>
              <w:rPr>
                <w:rFonts w:ascii="Arial" w:cs="Arial" w:eastAsia="Arial" w:hAnsi="Arial"/>
                <w:sz w:val="12"/>
                <w:szCs w:val="12"/>
                <w:color w:val="1A475F"/>
              </w:rPr>
              <w:t>Holdings Inc</w:t>
            </w:r>
          </w:p>
        </w:tc>
        <w:tc>
          <w:tcPr>
            <w:tcW w:w="22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Armstrong World Industries</w:t>
            </w:r>
          </w:p>
        </w:tc>
        <w:tc>
          <w:tcPr>
            <w:tcW w:w="2340" w:type="dxa"/>
            <w:vAlign w:val="bottom"/>
          </w:tcPr>
          <w:p>
            <w:pPr>
              <w:ind w:left="280"/>
              <w:spacing w:after="0"/>
              <w:rPr>
                <w:sz w:val="20"/>
                <w:szCs w:val="20"/>
                <w:color w:val="auto"/>
              </w:rPr>
            </w:pPr>
            <w:r>
              <w:rPr>
                <w:rFonts w:ascii="Arial" w:cs="Arial" w:eastAsia="Arial" w:hAnsi="Arial"/>
                <w:sz w:val="12"/>
                <w:szCs w:val="12"/>
                <w:color w:val="1A475F"/>
              </w:rPr>
              <w:t>Equitable Holdings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Manhattan Associates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Somnigroup International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AST Spacemobile</w:t>
            </w:r>
          </w:p>
        </w:tc>
        <w:tc>
          <w:tcPr>
            <w:tcW w:w="2340" w:type="dxa"/>
            <w:vAlign w:val="bottom"/>
          </w:tcPr>
          <w:p>
            <w:pPr>
              <w:ind w:left="280"/>
              <w:spacing w:after="0"/>
              <w:rPr>
                <w:sz w:val="20"/>
                <w:szCs w:val="20"/>
                <w:color w:val="auto"/>
              </w:rPr>
            </w:pPr>
            <w:r>
              <w:rPr>
                <w:rFonts w:ascii="Arial" w:cs="Arial" w:eastAsia="Arial" w:hAnsi="Arial"/>
                <w:sz w:val="12"/>
                <w:szCs w:val="12"/>
                <w:color w:val="1A475F"/>
              </w:rPr>
              <w:t>Etsy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Markel Group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Sotera Health Co</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Astera Labs</w:t>
            </w:r>
          </w:p>
        </w:tc>
        <w:tc>
          <w:tcPr>
            <w:tcW w:w="2340" w:type="dxa"/>
            <w:vAlign w:val="bottom"/>
          </w:tcPr>
          <w:p>
            <w:pPr>
              <w:ind w:left="280"/>
              <w:spacing w:after="0"/>
              <w:rPr>
                <w:sz w:val="20"/>
                <w:szCs w:val="20"/>
                <w:color w:val="auto"/>
              </w:rPr>
            </w:pPr>
            <w:r>
              <w:rPr>
                <w:rFonts w:ascii="Arial" w:cs="Arial" w:eastAsia="Arial" w:hAnsi="Arial"/>
                <w:sz w:val="12"/>
                <w:szCs w:val="12"/>
                <w:color w:val="1A475F"/>
              </w:rPr>
              <w:t>Everest Group Ltd</w:t>
            </w:r>
          </w:p>
        </w:tc>
        <w:tc>
          <w:tcPr>
            <w:tcW w:w="2400" w:type="dxa"/>
            <w:vAlign w:val="bottom"/>
          </w:tcPr>
          <w:p>
            <w:pPr>
              <w:ind w:left="300"/>
              <w:spacing w:after="0"/>
              <w:rPr>
                <w:sz w:val="20"/>
                <w:szCs w:val="20"/>
                <w:color w:val="auto"/>
              </w:rPr>
            </w:pPr>
            <w:r>
              <w:rPr>
                <w:rFonts w:ascii="Arial" w:cs="Arial" w:eastAsia="Arial" w:hAnsi="Arial"/>
                <w:sz w:val="12"/>
                <w:szCs w:val="12"/>
                <w:color w:val="1A475F"/>
              </w:rPr>
              <w:t>Masimo Corp</w:t>
            </w:r>
          </w:p>
        </w:tc>
        <w:tc>
          <w:tcPr>
            <w:tcW w:w="2240" w:type="dxa"/>
            <w:vAlign w:val="bottom"/>
          </w:tcPr>
          <w:p>
            <w:pPr>
              <w:ind w:left="360"/>
              <w:spacing w:after="0"/>
              <w:rPr>
                <w:sz w:val="20"/>
                <w:szCs w:val="20"/>
                <w:color w:val="auto"/>
              </w:rPr>
            </w:pPr>
            <w:r>
              <w:rPr>
                <w:rFonts w:ascii="Arial" w:cs="Arial" w:eastAsia="Arial" w:hAnsi="Arial"/>
                <w:sz w:val="12"/>
                <w:szCs w:val="12"/>
                <w:color w:val="1A475F"/>
              </w:rPr>
              <w:t>Southwest Airlines Co</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Avis Budget Group</w:t>
            </w:r>
          </w:p>
        </w:tc>
        <w:tc>
          <w:tcPr>
            <w:tcW w:w="2340" w:type="dxa"/>
            <w:vAlign w:val="bottom"/>
          </w:tcPr>
          <w:p>
            <w:pPr>
              <w:ind w:left="280"/>
              <w:spacing w:after="0"/>
              <w:rPr>
                <w:sz w:val="20"/>
                <w:szCs w:val="20"/>
                <w:color w:val="auto"/>
              </w:rPr>
            </w:pPr>
            <w:r>
              <w:rPr>
                <w:rFonts w:ascii="Arial" w:cs="Arial" w:eastAsia="Arial" w:hAnsi="Arial"/>
                <w:sz w:val="12"/>
                <w:szCs w:val="12"/>
                <w:color w:val="1A475F"/>
              </w:rPr>
              <w:t>Exact Sciences Corp</w:t>
            </w:r>
          </w:p>
        </w:tc>
        <w:tc>
          <w:tcPr>
            <w:tcW w:w="2400" w:type="dxa"/>
            <w:vAlign w:val="bottom"/>
          </w:tcPr>
          <w:p>
            <w:pPr>
              <w:ind w:left="300"/>
              <w:spacing w:after="0"/>
              <w:rPr>
                <w:sz w:val="20"/>
                <w:szCs w:val="20"/>
                <w:color w:val="auto"/>
              </w:rPr>
            </w:pPr>
            <w:r>
              <w:rPr>
                <w:rFonts w:ascii="Arial" w:cs="Arial" w:eastAsia="Arial" w:hAnsi="Arial"/>
                <w:sz w:val="12"/>
                <w:szCs w:val="12"/>
                <w:color w:val="1A475F"/>
              </w:rPr>
              <w:t>MasTec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Sprouts Farmers Market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Axon Enterprise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Exelixis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Medpace Holding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StandardAero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Bank Of New York</w:t>
            </w:r>
          </w:p>
        </w:tc>
        <w:tc>
          <w:tcPr>
            <w:tcW w:w="2340" w:type="dxa"/>
            <w:vAlign w:val="bottom"/>
          </w:tcPr>
          <w:p>
            <w:pPr>
              <w:ind w:left="280"/>
              <w:spacing w:after="0"/>
              <w:rPr>
                <w:sz w:val="20"/>
                <w:szCs w:val="20"/>
                <w:color w:val="auto"/>
              </w:rPr>
            </w:pPr>
            <w:r>
              <w:rPr>
                <w:rFonts w:ascii="Arial" w:cs="Arial" w:eastAsia="Arial" w:hAnsi="Arial"/>
                <w:sz w:val="12"/>
                <w:szCs w:val="12"/>
                <w:color w:val="1A475F"/>
              </w:rPr>
              <w:t>Exlservice Holdings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Molina Healthcare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Steel Dynamics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Bentley Systems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Expedia Group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MongoDB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Summit Therapeutics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Birkenstock Holdings PLC</w:t>
            </w:r>
          </w:p>
        </w:tc>
        <w:tc>
          <w:tcPr>
            <w:tcW w:w="2340" w:type="dxa"/>
            <w:vAlign w:val="bottom"/>
          </w:tcPr>
          <w:p>
            <w:pPr>
              <w:ind w:left="280"/>
              <w:spacing w:after="0"/>
              <w:rPr>
                <w:sz w:val="20"/>
                <w:szCs w:val="20"/>
                <w:color w:val="auto"/>
              </w:rPr>
            </w:pPr>
            <w:r>
              <w:rPr>
                <w:rFonts w:ascii="Arial" w:cs="Arial" w:eastAsia="Arial" w:hAnsi="Arial"/>
                <w:sz w:val="12"/>
                <w:szCs w:val="12"/>
                <w:color w:val="1A475F"/>
              </w:rPr>
              <w:t>Factset Research Systems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Monolithic Power Systems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Sun Communities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BJ’S Wholesale Club Holdings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Fair Isaac Corp</w:t>
            </w:r>
          </w:p>
        </w:tc>
        <w:tc>
          <w:tcPr>
            <w:tcW w:w="2400" w:type="dxa"/>
            <w:vAlign w:val="bottom"/>
          </w:tcPr>
          <w:p>
            <w:pPr>
              <w:ind w:left="300"/>
              <w:spacing w:after="0"/>
              <w:rPr>
                <w:sz w:val="20"/>
                <w:szCs w:val="20"/>
                <w:color w:val="auto"/>
              </w:rPr>
            </w:pPr>
            <w:r>
              <w:rPr>
                <w:rFonts w:ascii="Arial" w:cs="Arial" w:eastAsia="Arial" w:hAnsi="Arial"/>
                <w:sz w:val="12"/>
                <w:szCs w:val="12"/>
                <w:color w:val="1A475F"/>
              </w:rPr>
              <w:t>Morningstar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Super Micro Computer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H&amp;R Block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Fastenal Co</w:t>
            </w:r>
          </w:p>
        </w:tc>
        <w:tc>
          <w:tcPr>
            <w:tcW w:w="2400" w:type="dxa"/>
            <w:vAlign w:val="bottom"/>
          </w:tcPr>
          <w:p>
            <w:pPr>
              <w:ind w:left="300"/>
              <w:spacing w:after="0"/>
              <w:rPr>
                <w:sz w:val="20"/>
                <w:szCs w:val="20"/>
                <w:color w:val="auto"/>
              </w:rPr>
            </w:pPr>
            <w:r>
              <w:rPr>
                <w:rFonts w:ascii="Arial" w:cs="Arial" w:eastAsia="Arial" w:hAnsi="Arial"/>
                <w:sz w:val="12"/>
                <w:szCs w:val="12"/>
                <w:color w:val="1A475F"/>
              </w:rPr>
              <w:t>Msci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Sysco Corp</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Block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Ferguson Enterprises</w:t>
            </w:r>
          </w:p>
        </w:tc>
        <w:tc>
          <w:tcPr>
            <w:tcW w:w="2400" w:type="dxa"/>
            <w:vAlign w:val="bottom"/>
          </w:tcPr>
          <w:p>
            <w:pPr>
              <w:ind w:left="300"/>
              <w:spacing w:after="0"/>
              <w:rPr>
                <w:sz w:val="20"/>
                <w:szCs w:val="20"/>
                <w:color w:val="auto"/>
              </w:rPr>
            </w:pPr>
            <w:r>
              <w:rPr>
                <w:rFonts w:ascii="Arial" w:cs="Arial" w:eastAsia="Arial" w:hAnsi="Arial"/>
                <w:sz w:val="12"/>
                <w:szCs w:val="12"/>
                <w:color w:val="1A475F"/>
              </w:rPr>
              <w:t>Murphy USA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Take-Two Interactive Software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Blue Owl Capital</w:t>
            </w:r>
          </w:p>
        </w:tc>
        <w:tc>
          <w:tcPr>
            <w:tcW w:w="2340" w:type="dxa"/>
            <w:vAlign w:val="bottom"/>
          </w:tcPr>
          <w:p>
            <w:pPr>
              <w:ind w:left="280"/>
              <w:spacing w:after="0"/>
              <w:rPr>
                <w:sz w:val="20"/>
                <w:szCs w:val="20"/>
                <w:color w:val="auto"/>
              </w:rPr>
            </w:pPr>
            <w:r>
              <w:rPr>
                <w:rFonts w:ascii="Arial" w:cs="Arial" w:eastAsia="Arial" w:hAnsi="Arial"/>
                <w:sz w:val="12"/>
                <w:szCs w:val="12"/>
                <w:color w:val="1A475F"/>
              </w:rPr>
              <w:t>Figure Technology Solutions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Natera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Tapestry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Booz Allen Hamilton</w:t>
            </w:r>
          </w:p>
        </w:tc>
        <w:tc>
          <w:tcPr>
            <w:tcW w:w="2340" w:type="dxa"/>
            <w:vAlign w:val="bottom"/>
          </w:tcPr>
          <w:p>
            <w:pPr>
              <w:ind w:left="280"/>
              <w:spacing w:after="0"/>
              <w:rPr>
                <w:sz w:val="20"/>
                <w:szCs w:val="20"/>
                <w:color w:val="auto"/>
              </w:rPr>
            </w:pPr>
            <w:r>
              <w:rPr>
                <w:rFonts w:ascii="Arial" w:cs="Arial" w:eastAsia="Arial" w:hAnsi="Arial"/>
                <w:sz w:val="12"/>
                <w:szCs w:val="12"/>
                <w:color w:val="1A475F"/>
              </w:rPr>
              <w:t>Floor &amp; Decor Holdings</w:t>
            </w:r>
          </w:p>
        </w:tc>
        <w:tc>
          <w:tcPr>
            <w:tcW w:w="2400" w:type="dxa"/>
            <w:vAlign w:val="bottom"/>
          </w:tcPr>
          <w:p>
            <w:pPr>
              <w:ind w:left="300"/>
              <w:spacing w:after="0"/>
              <w:rPr>
                <w:sz w:val="20"/>
                <w:szCs w:val="20"/>
                <w:color w:val="auto"/>
              </w:rPr>
            </w:pPr>
            <w:r>
              <w:rPr>
                <w:rFonts w:ascii="Arial" w:cs="Arial" w:eastAsia="Arial" w:hAnsi="Arial"/>
                <w:sz w:val="12"/>
                <w:szCs w:val="12"/>
                <w:color w:val="1A475F"/>
              </w:rPr>
              <w:t>nCino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Targa Resources Corp</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Bright Horizons Family Solutions</w:t>
            </w:r>
          </w:p>
        </w:tc>
        <w:tc>
          <w:tcPr>
            <w:tcW w:w="2340" w:type="dxa"/>
            <w:vAlign w:val="bottom"/>
          </w:tcPr>
          <w:p>
            <w:pPr>
              <w:ind w:left="280"/>
              <w:spacing w:after="0"/>
              <w:rPr>
                <w:sz w:val="20"/>
                <w:szCs w:val="20"/>
                <w:color w:val="auto"/>
              </w:rPr>
            </w:pPr>
            <w:r>
              <w:rPr>
                <w:rFonts w:ascii="Arial" w:cs="Arial" w:eastAsia="Arial" w:hAnsi="Arial"/>
                <w:sz w:val="12"/>
                <w:szCs w:val="12"/>
                <w:color w:val="1A475F"/>
              </w:rPr>
              <w:t>Flutter Entertainment PLC</w:t>
            </w:r>
          </w:p>
        </w:tc>
        <w:tc>
          <w:tcPr>
            <w:tcW w:w="2400" w:type="dxa"/>
            <w:vAlign w:val="bottom"/>
          </w:tcPr>
          <w:p>
            <w:pPr>
              <w:ind w:left="300"/>
              <w:spacing w:after="0"/>
              <w:rPr>
                <w:sz w:val="20"/>
                <w:szCs w:val="20"/>
                <w:color w:val="auto"/>
              </w:rPr>
            </w:pPr>
            <w:r>
              <w:rPr>
                <w:rFonts w:ascii="Arial" w:cs="Arial" w:eastAsia="Arial" w:hAnsi="Arial"/>
                <w:sz w:val="12"/>
                <w:szCs w:val="12"/>
                <w:color w:val="1A475F"/>
              </w:rPr>
              <w:t>Netapp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Tempus AI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Broadridge Financial</w:t>
            </w:r>
          </w:p>
        </w:tc>
        <w:tc>
          <w:tcPr>
            <w:tcW w:w="2340" w:type="dxa"/>
            <w:vAlign w:val="bottom"/>
          </w:tcPr>
          <w:p>
            <w:pPr>
              <w:ind w:left="280"/>
              <w:spacing w:after="0"/>
              <w:rPr>
                <w:sz w:val="20"/>
                <w:szCs w:val="20"/>
                <w:color w:val="auto"/>
              </w:rPr>
            </w:pPr>
            <w:r>
              <w:rPr>
                <w:rFonts w:ascii="Arial" w:cs="Arial" w:eastAsia="Arial" w:hAnsi="Arial"/>
                <w:sz w:val="12"/>
                <w:szCs w:val="12"/>
                <w:color w:val="1A475F"/>
              </w:rPr>
              <w:t>Freedom Holding Corp.</w:t>
            </w:r>
          </w:p>
        </w:tc>
        <w:tc>
          <w:tcPr>
            <w:tcW w:w="2400" w:type="dxa"/>
            <w:vAlign w:val="bottom"/>
          </w:tcPr>
          <w:p>
            <w:pPr>
              <w:ind w:left="300"/>
              <w:spacing w:after="0"/>
              <w:rPr>
                <w:sz w:val="20"/>
                <w:szCs w:val="20"/>
                <w:color w:val="auto"/>
              </w:rPr>
            </w:pPr>
            <w:r>
              <w:rPr>
                <w:rFonts w:ascii="Arial" w:cs="Arial" w:eastAsia="Arial" w:hAnsi="Arial"/>
                <w:sz w:val="12"/>
                <w:szCs w:val="12"/>
                <w:color w:val="1A475F"/>
              </w:rPr>
              <w:t>Neurocrine Biosciences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Teradata Corp</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Brown &amp; Brown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Freshpet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Nexstar Media Group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Tetra Tech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Bullish</w:t>
            </w:r>
          </w:p>
        </w:tc>
        <w:tc>
          <w:tcPr>
            <w:tcW w:w="2340" w:type="dxa"/>
            <w:vAlign w:val="bottom"/>
          </w:tcPr>
          <w:p>
            <w:pPr>
              <w:ind w:left="280"/>
              <w:spacing w:after="0"/>
              <w:rPr>
                <w:sz w:val="20"/>
                <w:szCs w:val="20"/>
                <w:color w:val="auto"/>
              </w:rPr>
            </w:pPr>
            <w:r>
              <w:rPr>
                <w:rFonts w:ascii="Arial" w:cs="Arial" w:eastAsia="Arial" w:hAnsi="Arial"/>
                <w:sz w:val="12"/>
                <w:szCs w:val="12"/>
                <w:color w:val="1A475F"/>
              </w:rPr>
              <w:t>Ftai Aviation Ltd</w:t>
            </w:r>
          </w:p>
        </w:tc>
        <w:tc>
          <w:tcPr>
            <w:tcW w:w="2400" w:type="dxa"/>
            <w:vAlign w:val="bottom"/>
          </w:tcPr>
          <w:p>
            <w:pPr>
              <w:ind w:left="300"/>
              <w:spacing w:after="0"/>
              <w:rPr>
                <w:sz w:val="20"/>
                <w:szCs w:val="20"/>
                <w:color w:val="auto"/>
              </w:rPr>
            </w:pPr>
            <w:r>
              <w:rPr>
                <w:rFonts w:ascii="Arial" w:cs="Arial" w:eastAsia="Arial" w:hAnsi="Arial"/>
                <w:sz w:val="12"/>
                <w:szCs w:val="12"/>
                <w:color w:val="1A475F"/>
              </w:rPr>
              <w:t>NIQ Global Intelligence PLC</w:t>
            </w:r>
          </w:p>
        </w:tc>
        <w:tc>
          <w:tcPr>
            <w:tcW w:w="2240" w:type="dxa"/>
            <w:vAlign w:val="bottom"/>
          </w:tcPr>
          <w:p>
            <w:pPr>
              <w:ind w:left="360"/>
              <w:spacing w:after="0"/>
              <w:rPr>
                <w:sz w:val="20"/>
                <w:szCs w:val="20"/>
                <w:color w:val="auto"/>
              </w:rPr>
            </w:pPr>
            <w:r>
              <w:rPr>
                <w:rFonts w:ascii="Arial" w:cs="Arial" w:eastAsia="Arial" w:hAnsi="Arial"/>
                <w:sz w:val="12"/>
                <w:szCs w:val="12"/>
                <w:color w:val="1A475F"/>
              </w:rPr>
              <w:t>Texas Pacific Land Corp</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Burlington Stores</w:t>
            </w:r>
          </w:p>
        </w:tc>
        <w:tc>
          <w:tcPr>
            <w:tcW w:w="2340" w:type="dxa"/>
            <w:vAlign w:val="bottom"/>
          </w:tcPr>
          <w:p>
            <w:pPr>
              <w:ind w:left="280"/>
              <w:spacing w:after="0"/>
              <w:rPr>
                <w:sz w:val="20"/>
                <w:szCs w:val="20"/>
                <w:color w:val="auto"/>
              </w:rPr>
            </w:pPr>
            <w:r>
              <w:rPr>
                <w:rFonts w:ascii="Arial" w:cs="Arial" w:eastAsia="Arial" w:hAnsi="Arial"/>
                <w:sz w:val="12"/>
                <w:szCs w:val="12"/>
                <w:color w:val="1A475F"/>
              </w:rPr>
              <w:t>Gartner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Norwegian Cruise Line Holdings Ltd</w:t>
            </w:r>
          </w:p>
        </w:tc>
        <w:tc>
          <w:tcPr>
            <w:tcW w:w="2240" w:type="dxa"/>
            <w:vAlign w:val="bottom"/>
          </w:tcPr>
          <w:p>
            <w:pPr>
              <w:ind w:left="360"/>
              <w:spacing w:after="0"/>
              <w:rPr>
                <w:sz w:val="20"/>
                <w:szCs w:val="20"/>
                <w:color w:val="auto"/>
              </w:rPr>
            </w:pPr>
            <w:r>
              <w:rPr>
                <w:rFonts w:ascii="Arial" w:cs="Arial" w:eastAsia="Arial" w:hAnsi="Arial"/>
                <w:sz w:val="12"/>
                <w:szCs w:val="12"/>
                <w:color w:val="1A475F"/>
              </w:rPr>
              <w:t>Texas Roadhouse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Bwx Technologies</w:t>
            </w:r>
          </w:p>
        </w:tc>
        <w:tc>
          <w:tcPr>
            <w:tcW w:w="2340" w:type="dxa"/>
            <w:vAlign w:val="bottom"/>
          </w:tcPr>
          <w:p>
            <w:pPr>
              <w:ind w:left="280"/>
              <w:spacing w:after="0"/>
              <w:rPr>
                <w:sz w:val="20"/>
                <w:szCs w:val="20"/>
                <w:color w:val="auto"/>
              </w:rPr>
            </w:pPr>
            <w:r>
              <w:rPr>
                <w:rFonts w:ascii="Arial" w:cs="Arial" w:eastAsia="Arial" w:hAnsi="Arial"/>
                <w:sz w:val="12"/>
                <w:szCs w:val="12"/>
                <w:color w:val="1A475F"/>
              </w:rPr>
              <w:t>Gci Liberty Inc. Series A</w:t>
            </w:r>
          </w:p>
        </w:tc>
        <w:tc>
          <w:tcPr>
            <w:tcW w:w="2400" w:type="dxa"/>
            <w:vAlign w:val="bottom"/>
          </w:tcPr>
          <w:p>
            <w:pPr>
              <w:ind w:left="300"/>
              <w:spacing w:after="0"/>
              <w:rPr>
                <w:sz w:val="20"/>
                <w:szCs w:val="20"/>
                <w:color w:val="auto"/>
              </w:rPr>
            </w:pPr>
            <w:r>
              <w:rPr>
                <w:rFonts w:ascii="Arial" w:cs="Arial" w:eastAsia="Arial" w:hAnsi="Arial"/>
                <w:sz w:val="12"/>
                <w:szCs w:val="12"/>
                <w:color w:val="1A475F"/>
              </w:rPr>
              <w:t>Nrg Energy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The Trade Desk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Cardinal Health</w:t>
            </w:r>
          </w:p>
        </w:tc>
        <w:tc>
          <w:tcPr>
            <w:tcW w:w="2340" w:type="dxa"/>
            <w:vAlign w:val="bottom"/>
          </w:tcPr>
          <w:p>
            <w:pPr>
              <w:ind w:left="280"/>
              <w:spacing w:after="0"/>
              <w:rPr>
                <w:sz w:val="20"/>
                <w:szCs w:val="20"/>
                <w:color w:val="auto"/>
              </w:rPr>
            </w:pPr>
            <w:r>
              <w:rPr>
                <w:rFonts w:ascii="Arial" w:cs="Arial" w:eastAsia="Arial" w:hAnsi="Arial"/>
                <w:sz w:val="12"/>
                <w:szCs w:val="12"/>
                <w:color w:val="1A475F"/>
              </w:rPr>
              <w:t>Gci Liberty Inc. Series C</w:t>
            </w:r>
          </w:p>
        </w:tc>
        <w:tc>
          <w:tcPr>
            <w:tcW w:w="2400" w:type="dxa"/>
            <w:vAlign w:val="bottom"/>
          </w:tcPr>
          <w:p>
            <w:pPr>
              <w:ind w:left="300"/>
              <w:spacing w:after="0"/>
              <w:rPr>
                <w:sz w:val="20"/>
                <w:szCs w:val="20"/>
                <w:color w:val="auto"/>
              </w:rPr>
            </w:pPr>
            <w:r>
              <w:rPr>
                <w:rFonts w:ascii="Arial" w:cs="Arial" w:eastAsia="Arial" w:hAnsi="Arial"/>
                <w:sz w:val="12"/>
                <w:szCs w:val="12"/>
                <w:color w:val="1A475F"/>
              </w:rPr>
              <w:t>Nutanix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Wendy’s Co</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Caris Life Sciences</w:t>
            </w:r>
          </w:p>
        </w:tc>
        <w:tc>
          <w:tcPr>
            <w:tcW w:w="2340" w:type="dxa"/>
            <w:vAlign w:val="bottom"/>
          </w:tcPr>
          <w:p>
            <w:pPr>
              <w:ind w:left="280"/>
              <w:spacing w:after="0"/>
              <w:rPr>
                <w:sz w:val="20"/>
                <w:szCs w:val="20"/>
                <w:color w:val="auto"/>
              </w:rPr>
            </w:pPr>
            <w:r>
              <w:rPr>
                <w:rFonts w:ascii="Arial" w:cs="Arial" w:eastAsia="Arial" w:hAnsi="Arial"/>
                <w:sz w:val="12"/>
                <w:szCs w:val="12"/>
                <w:color w:val="1A475F"/>
              </w:rPr>
              <w:t>Gen Digital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Okta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TKO Group Holdings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Carlisle Companies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Gitlab</w:t>
            </w:r>
          </w:p>
        </w:tc>
        <w:tc>
          <w:tcPr>
            <w:tcW w:w="2400" w:type="dxa"/>
            <w:vAlign w:val="bottom"/>
          </w:tcPr>
          <w:p>
            <w:pPr>
              <w:ind w:left="300"/>
              <w:spacing w:after="0"/>
              <w:rPr>
                <w:sz w:val="20"/>
                <w:szCs w:val="20"/>
                <w:color w:val="auto"/>
              </w:rPr>
            </w:pPr>
            <w:r>
              <w:rPr>
                <w:rFonts w:ascii="Arial" w:cs="Arial" w:eastAsia="Arial" w:hAnsi="Arial"/>
                <w:sz w:val="12"/>
                <w:szCs w:val="12"/>
                <w:color w:val="1A475F"/>
              </w:rPr>
              <w:t>Old Dominion Freight Line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Toast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Carnival Corporation</w:t>
            </w:r>
          </w:p>
        </w:tc>
        <w:tc>
          <w:tcPr>
            <w:tcW w:w="2340" w:type="dxa"/>
            <w:vAlign w:val="bottom"/>
          </w:tcPr>
          <w:p>
            <w:pPr>
              <w:ind w:left="280"/>
              <w:spacing w:after="0"/>
              <w:rPr>
                <w:sz w:val="20"/>
                <w:szCs w:val="20"/>
                <w:color w:val="auto"/>
              </w:rPr>
            </w:pPr>
            <w:r>
              <w:rPr>
                <w:rFonts w:ascii="Arial" w:cs="Arial" w:eastAsia="Arial" w:hAnsi="Arial"/>
                <w:sz w:val="12"/>
                <w:szCs w:val="12"/>
                <w:color w:val="1A475F"/>
              </w:rPr>
              <w:t>Globant S.A.</w:t>
            </w:r>
          </w:p>
        </w:tc>
        <w:tc>
          <w:tcPr>
            <w:tcW w:w="2400" w:type="dxa"/>
            <w:vAlign w:val="bottom"/>
          </w:tcPr>
          <w:p>
            <w:pPr>
              <w:ind w:left="300"/>
              <w:spacing w:after="0"/>
              <w:rPr>
                <w:sz w:val="20"/>
                <w:szCs w:val="20"/>
                <w:color w:val="auto"/>
              </w:rPr>
            </w:pPr>
            <w:r>
              <w:rPr>
                <w:rFonts w:ascii="Arial" w:cs="Arial" w:eastAsia="Arial" w:hAnsi="Arial"/>
                <w:sz w:val="12"/>
                <w:szCs w:val="12"/>
                <w:color w:val="1A475F"/>
              </w:rPr>
              <w:t>On Holding Ltd</w:t>
            </w:r>
          </w:p>
        </w:tc>
        <w:tc>
          <w:tcPr>
            <w:tcW w:w="2240" w:type="dxa"/>
            <w:vAlign w:val="bottom"/>
          </w:tcPr>
          <w:p>
            <w:pPr>
              <w:ind w:left="360"/>
              <w:spacing w:after="0"/>
              <w:rPr>
                <w:sz w:val="20"/>
                <w:szCs w:val="20"/>
                <w:color w:val="auto"/>
              </w:rPr>
            </w:pPr>
            <w:r>
              <w:rPr>
                <w:rFonts w:ascii="Arial" w:cs="Arial" w:eastAsia="Arial" w:hAnsi="Arial"/>
                <w:sz w:val="12"/>
                <w:szCs w:val="12"/>
                <w:color w:val="1A475F"/>
              </w:rPr>
              <w:t>Topbuild Corp</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Carpenter Technology Corporation</w:t>
            </w:r>
          </w:p>
        </w:tc>
        <w:tc>
          <w:tcPr>
            <w:tcW w:w="2340" w:type="dxa"/>
            <w:vAlign w:val="bottom"/>
          </w:tcPr>
          <w:p>
            <w:pPr>
              <w:ind w:left="280"/>
              <w:spacing w:after="0"/>
              <w:rPr>
                <w:sz w:val="20"/>
                <w:szCs w:val="20"/>
                <w:color w:val="auto"/>
              </w:rPr>
            </w:pPr>
            <w:r>
              <w:rPr>
                <w:rFonts w:ascii="Arial" w:cs="Arial" w:eastAsia="Arial" w:hAnsi="Arial"/>
                <w:sz w:val="12"/>
                <w:szCs w:val="12"/>
                <w:color w:val="1A475F"/>
              </w:rPr>
              <w:t>Godaddy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Onto Innovation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Tpg Partners LLC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Carvana Co</w:t>
            </w:r>
          </w:p>
        </w:tc>
        <w:tc>
          <w:tcPr>
            <w:tcW w:w="2340" w:type="dxa"/>
            <w:vAlign w:val="bottom"/>
          </w:tcPr>
          <w:p>
            <w:pPr>
              <w:ind w:left="280"/>
              <w:spacing w:after="0"/>
              <w:rPr>
                <w:sz w:val="20"/>
                <w:szCs w:val="20"/>
                <w:color w:val="auto"/>
              </w:rPr>
            </w:pPr>
            <w:r>
              <w:rPr>
                <w:rFonts w:ascii="Arial" w:cs="Arial" w:eastAsia="Arial" w:hAnsi="Arial"/>
                <w:sz w:val="12"/>
                <w:szCs w:val="12"/>
                <w:color w:val="1A475F"/>
              </w:rPr>
              <w:t>Grainger Ww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Paychex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Tractor Supply Co</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Caseys General</w:t>
            </w:r>
          </w:p>
        </w:tc>
        <w:tc>
          <w:tcPr>
            <w:tcW w:w="2340" w:type="dxa"/>
            <w:vAlign w:val="bottom"/>
          </w:tcPr>
          <w:p>
            <w:pPr>
              <w:ind w:left="280"/>
              <w:spacing w:after="0"/>
              <w:rPr>
                <w:sz w:val="20"/>
                <w:szCs w:val="20"/>
                <w:color w:val="auto"/>
              </w:rPr>
            </w:pPr>
            <w:r>
              <w:rPr>
                <w:rFonts w:ascii="Arial" w:cs="Arial" w:eastAsia="Arial" w:hAnsi="Arial"/>
                <w:sz w:val="12"/>
                <w:szCs w:val="12"/>
                <w:color w:val="1A475F"/>
              </w:rPr>
              <w:t>Grand Canyon Education</w:t>
            </w:r>
          </w:p>
        </w:tc>
        <w:tc>
          <w:tcPr>
            <w:tcW w:w="2400" w:type="dxa"/>
            <w:vAlign w:val="bottom"/>
          </w:tcPr>
          <w:p>
            <w:pPr>
              <w:ind w:left="300"/>
              <w:spacing w:after="0"/>
              <w:rPr>
                <w:sz w:val="20"/>
                <w:szCs w:val="20"/>
                <w:color w:val="auto"/>
              </w:rPr>
            </w:pPr>
            <w:r>
              <w:rPr>
                <w:rFonts w:ascii="Arial" w:cs="Arial" w:eastAsia="Arial" w:hAnsi="Arial"/>
                <w:sz w:val="12"/>
                <w:szCs w:val="12"/>
                <w:color w:val="1A475F"/>
              </w:rPr>
              <w:t>Paycom Software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Tradeweb Market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Cava Group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Guidewire Software</w:t>
            </w:r>
          </w:p>
        </w:tc>
        <w:tc>
          <w:tcPr>
            <w:tcW w:w="2400" w:type="dxa"/>
            <w:vAlign w:val="bottom"/>
          </w:tcPr>
          <w:p>
            <w:pPr>
              <w:ind w:left="300"/>
              <w:spacing w:after="0"/>
              <w:rPr>
                <w:sz w:val="20"/>
                <w:szCs w:val="20"/>
                <w:color w:val="auto"/>
              </w:rPr>
            </w:pPr>
            <w:r>
              <w:rPr>
                <w:rFonts w:ascii="Arial" w:cs="Arial" w:eastAsia="Arial" w:hAnsi="Arial"/>
                <w:sz w:val="12"/>
                <w:szCs w:val="12"/>
                <w:color w:val="1A475F"/>
              </w:rPr>
              <w:t>Paylocity Holding Corp</w:t>
            </w:r>
          </w:p>
        </w:tc>
        <w:tc>
          <w:tcPr>
            <w:tcW w:w="2240" w:type="dxa"/>
            <w:vAlign w:val="bottom"/>
          </w:tcPr>
          <w:p>
            <w:pPr>
              <w:ind w:left="360"/>
              <w:spacing w:after="0"/>
              <w:rPr>
                <w:sz w:val="20"/>
                <w:szCs w:val="20"/>
                <w:color w:val="auto"/>
              </w:rPr>
            </w:pPr>
            <w:r>
              <w:rPr>
                <w:rFonts w:ascii="Arial" w:cs="Arial" w:eastAsia="Arial" w:hAnsi="Arial"/>
                <w:sz w:val="12"/>
                <w:szCs w:val="12"/>
                <w:color w:val="1A475F"/>
              </w:rPr>
              <w:t>Travel Plus Leisure Co</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Cbre Group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Halozyme Therapeutics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Pegasystems Inc</w:t>
            </w:r>
          </w:p>
        </w:tc>
        <w:tc>
          <w:tcPr>
            <w:tcW w:w="2520" w:type="dxa"/>
            <w:vAlign w:val="bottom"/>
            <w:gridSpan w:val="2"/>
          </w:tcPr>
          <w:p>
            <w:pPr>
              <w:ind w:left="360"/>
              <w:spacing w:after="0"/>
              <w:rPr>
                <w:sz w:val="20"/>
                <w:szCs w:val="20"/>
                <w:color w:val="auto"/>
              </w:rPr>
            </w:pPr>
            <w:r>
              <w:rPr>
                <w:rFonts w:ascii="Arial" w:cs="Arial" w:eastAsia="Arial" w:hAnsi="Arial"/>
                <w:sz w:val="12"/>
                <w:szCs w:val="12"/>
                <w:color w:val="1A475F"/>
              </w:rPr>
              <w:t>Trump Media &amp; Technology Group Corp</w:t>
            </w: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Cdw Corporation</w:t>
            </w:r>
          </w:p>
        </w:tc>
        <w:tc>
          <w:tcPr>
            <w:tcW w:w="2340" w:type="dxa"/>
            <w:vAlign w:val="bottom"/>
          </w:tcPr>
          <w:p>
            <w:pPr>
              <w:ind w:left="280"/>
              <w:spacing w:after="0"/>
              <w:rPr>
                <w:sz w:val="20"/>
                <w:szCs w:val="20"/>
                <w:color w:val="auto"/>
              </w:rPr>
            </w:pPr>
            <w:r>
              <w:rPr>
                <w:rFonts w:ascii="Arial" w:cs="Arial" w:eastAsia="Arial" w:hAnsi="Arial"/>
                <w:sz w:val="12"/>
                <w:szCs w:val="12"/>
                <w:color w:val="1A475F"/>
              </w:rPr>
              <w:t>Hamilton Lane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Penumbra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Twilio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Celsius Holding</w:t>
            </w:r>
          </w:p>
        </w:tc>
        <w:tc>
          <w:tcPr>
            <w:tcW w:w="2340" w:type="dxa"/>
            <w:vAlign w:val="bottom"/>
          </w:tcPr>
          <w:p>
            <w:pPr>
              <w:ind w:left="280"/>
              <w:spacing w:after="0"/>
              <w:rPr>
                <w:sz w:val="20"/>
                <w:szCs w:val="20"/>
                <w:color w:val="auto"/>
              </w:rPr>
            </w:pPr>
            <w:r>
              <w:rPr>
                <w:rFonts w:ascii="Arial" w:cs="Arial" w:eastAsia="Arial" w:hAnsi="Arial"/>
                <w:sz w:val="12"/>
                <w:szCs w:val="12"/>
                <w:color w:val="1A475F"/>
              </w:rPr>
              <w:t>Heico Corp Class A</w:t>
            </w:r>
          </w:p>
        </w:tc>
        <w:tc>
          <w:tcPr>
            <w:tcW w:w="2400" w:type="dxa"/>
            <w:vAlign w:val="bottom"/>
          </w:tcPr>
          <w:p>
            <w:pPr>
              <w:ind w:left="300"/>
              <w:spacing w:after="0"/>
              <w:rPr>
                <w:sz w:val="20"/>
                <w:szCs w:val="20"/>
                <w:color w:val="auto"/>
              </w:rPr>
            </w:pPr>
            <w:r>
              <w:rPr>
                <w:rFonts w:ascii="Arial" w:cs="Arial" w:eastAsia="Arial" w:hAnsi="Arial"/>
                <w:sz w:val="12"/>
                <w:szCs w:val="12"/>
                <w:color w:val="1A475F"/>
              </w:rPr>
              <w:t>Performance Food Group Company</w:t>
            </w:r>
          </w:p>
        </w:tc>
        <w:tc>
          <w:tcPr>
            <w:tcW w:w="2240" w:type="dxa"/>
            <w:vAlign w:val="bottom"/>
          </w:tcPr>
          <w:p>
            <w:pPr>
              <w:ind w:left="360"/>
              <w:spacing w:after="0"/>
              <w:rPr>
                <w:sz w:val="20"/>
                <w:szCs w:val="20"/>
                <w:color w:val="auto"/>
              </w:rPr>
            </w:pPr>
            <w:r>
              <w:rPr>
                <w:rFonts w:ascii="Arial" w:cs="Arial" w:eastAsia="Arial" w:hAnsi="Arial"/>
                <w:sz w:val="12"/>
                <w:szCs w:val="12"/>
                <w:color w:val="1A475F"/>
              </w:rPr>
              <w:t>Tyler Technologies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Cencora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Heico Corp Communications</w:t>
            </w:r>
          </w:p>
        </w:tc>
        <w:tc>
          <w:tcPr>
            <w:tcW w:w="2400" w:type="dxa"/>
            <w:vAlign w:val="bottom"/>
          </w:tcPr>
          <w:p>
            <w:pPr>
              <w:ind w:left="300"/>
              <w:spacing w:after="0"/>
              <w:rPr>
                <w:sz w:val="20"/>
                <w:szCs w:val="20"/>
                <w:color w:val="auto"/>
              </w:rPr>
            </w:pPr>
            <w:r>
              <w:rPr>
                <w:rFonts w:ascii="Arial" w:cs="Arial" w:eastAsia="Arial" w:hAnsi="Arial"/>
                <w:sz w:val="12"/>
                <w:szCs w:val="12"/>
                <w:color w:val="1A475F"/>
              </w:rPr>
              <w:t>Phillips 66</w:t>
            </w:r>
          </w:p>
        </w:tc>
        <w:tc>
          <w:tcPr>
            <w:tcW w:w="2240" w:type="dxa"/>
            <w:vAlign w:val="bottom"/>
          </w:tcPr>
          <w:p>
            <w:pPr>
              <w:ind w:left="360"/>
              <w:spacing w:after="0"/>
              <w:rPr>
                <w:sz w:val="20"/>
                <w:szCs w:val="20"/>
                <w:color w:val="auto"/>
              </w:rPr>
            </w:pPr>
            <w:r>
              <w:rPr>
                <w:rFonts w:ascii="Arial" w:cs="Arial" w:eastAsia="Arial" w:hAnsi="Arial"/>
                <w:sz w:val="12"/>
                <w:szCs w:val="12"/>
                <w:color w:val="1A475F"/>
              </w:rPr>
              <w:t>U Haul Holding Co</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Chemed Corporation</w:t>
            </w:r>
          </w:p>
        </w:tc>
        <w:tc>
          <w:tcPr>
            <w:tcW w:w="2340" w:type="dxa"/>
            <w:vAlign w:val="bottom"/>
          </w:tcPr>
          <w:p>
            <w:pPr>
              <w:ind w:left="280"/>
              <w:spacing w:after="0"/>
              <w:rPr>
                <w:sz w:val="20"/>
                <w:szCs w:val="20"/>
                <w:color w:val="auto"/>
              </w:rPr>
            </w:pPr>
            <w:r>
              <w:rPr>
                <w:rFonts w:ascii="Arial" w:cs="Arial" w:eastAsia="Arial" w:hAnsi="Arial"/>
                <w:sz w:val="12"/>
                <w:szCs w:val="12"/>
                <w:color w:val="1A475F"/>
              </w:rPr>
              <w:t>Hershey Company</w:t>
            </w:r>
          </w:p>
        </w:tc>
        <w:tc>
          <w:tcPr>
            <w:tcW w:w="2400" w:type="dxa"/>
            <w:vAlign w:val="bottom"/>
          </w:tcPr>
          <w:p>
            <w:pPr>
              <w:ind w:left="300"/>
              <w:spacing w:after="0"/>
              <w:rPr>
                <w:sz w:val="20"/>
                <w:szCs w:val="20"/>
                <w:color w:val="auto"/>
              </w:rPr>
            </w:pPr>
            <w:r>
              <w:rPr>
                <w:rFonts w:ascii="Arial" w:cs="Arial" w:eastAsia="Arial" w:hAnsi="Arial"/>
                <w:sz w:val="12"/>
                <w:szCs w:val="12"/>
                <w:color w:val="1A475F"/>
              </w:rPr>
              <w:t>Pinnacle Financial Partners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U Haul Holding Co Series N</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Cheniere Energy</w:t>
            </w:r>
          </w:p>
        </w:tc>
        <w:tc>
          <w:tcPr>
            <w:tcW w:w="2340" w:type="dxa"/>
            <w:vAlign w:val="bottom"/>
          </w:tcPr>
          <w:p>
            <w:pPr>
              <w:ind w:left="280"/>
              <w:spacing w:after="0"/>
              <w:rPr>
                <w:sz w:val="20"/>
                <w:szCs w:val="20"/>
                <w:color w:val="auto"/>
              </w:rPr>
            </w:pPr>
            <w:r>
              <w:rPr>
                <w:rFonts w:ascii="Arial" w:cs="Arial" w:eastAsia="Arial" w:hAnsi="Arial"/>
                <w:sz w:val="12"/>
                <w:szCs w:val="12"/>
                <w:color w:val="1A475F"/>
              </w:rPr>
              <w:t>Hf Sinclair Corp.</w:t>
            </w:r>
          </w:p>
        </w:tc>
        <w:tc>
          <w:tcPr>
            <w:tcW w:w="2400" w:type="dxa"/>
            <w:vAlign w:val="bottom"/>
          </w:tcPr>
          <w:p>
            <w:pPr>
              <w:ind w:left="300"/>
              <w:spacing w:after="0"/>
              <w:rPr>
                <w:sz w:val="20"/>
                <w:szCs w:val="20"/>
                <w:color w:val="auto"/>
              </w:rPr>
            </w:pPr>
            <w:r>
              <w:rPr>
                <w:rFonts w:ascii="Arial" w:cs="Arial" w:eastAsia="Arial" w:hAnsi="Arial"/>
                <w:sz w:val="12"/>
                <w:szCs w:val="12"/>
                <w:color w:val="1A475F"/>
              </w:rPr>
              <w:t>Pinterest</w:t>
            </w:r>
          </w:p>
        </w:tc>
        <w:tc>
          <w:tcPr>
            <w:tcW w:w="2240" w:type="dxa"/>
            <w:vAlign w:val="bottom"/>
          </w:tcPr>
          <w:p>
            <w:pPr>
              <w:ind w:left="360"/>
              <w:spacing w:after="0"/>
              <w:rPr>
                <w:sz w:val="20"/>
                <w:szCs w:val="20"/>
                <w:color w:val="auto"/>
              </w:rPr>
            </w:pPr>
            <w:r>
              <w:rPr>
                <w:rFonts w:ascii="Arial" w:cs="Arial" w:eastAsia="Arial" w:hAnsi="Arial"/>
                <w:sz w:val="12"/>
                <w:szCs w:val="12"/>
                <w:color w:val="1A475F"/>
              </w:rPr>
              <w:t>Ubiquiti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Chewy</w:t>
            </w:r>
          </w:p>
        </w:tc>
        <w:tc>
          <w:tcPr>
            <w:tcW w:w="2340" w:type="dxa"/>
            <w:vAlign w:val="bottom"/>
          </w:tcPr>
          <w:p>
            <w:pPr>
              <w:ind w:left="280"/>
              <w:spacing w:after="0"/>
              <w:rPr>
                <w:sz w:val="20"/>
                <w:szCs w:val="20"/>
                <w:color w:val="auto"/>
              </w:rPr>
            </w:pPr>
            <w:r>
              <w:rPr>
                <w:rFonts w:ascii="Arial" w:cs="Arial" w:eastAsia="Arial" w:hAnsi="Arial"/>
                <w:sz w:val="12"/>
                <w:szCs w:val="12"/>
                <w:color w:val="1A475F"/>
              </w:rPr>
              <w:t>Hilton Worldwide</w:t>
            </w:r>
          </w:p>
        </w:tc>
        <w:tc>
          <w:tcPr>
            <w:tcW w:w="2400" w:type="dxa"/>
            <w:vAlign w:val="bottom"/>
          </w:tcPr>
          <w:p>
            <w:pPr>
              <w:ind w:left="300"/>
              <w:spacing w:after="0"/>
              <w:rPr>
                <w:sz w:val="20"/>
                <w:szCs w:val="20"/>
                <w:color w:val="auto"/>
              </w:rPr>
            </w:pPr>
            <w:r>
              <w:rPr>
                <w:rFonts w:ascii="Arial" w:cs="Arial" w:eastAsia="Arial" w:hAnsi="Arial"/>
                <w:sz w:val="12"/>
                <w:szCs w:val="12"/>
                <w:color w:val="1A475F"/>
              </w:rPr>
              <w:t>Planet Fitness</w:t>
            </w:r>
          </w:p>
        </w:tc>
        <w:tc>
          <w:tcPr>
            <w:tcW w:w="2240" w:type="dxa"/>
            <w:vAlign w:val="bottom"/>
          </w:tcPr>
          <w:p>
            <w:pPr>
              <w:ind w:left="360"/>
              <w:spacing w:after="0"/>
              <w:rPr>
                <w:sz w:val="20"/>
                <w:szCs w:val="20"/>
                <w:color w:val="auto"/>
              </w:rPr>
            </w:pPr>
            <w:r>
              <w:rPr>
                <w:rFonts w:ascii="Arial" w:cs="Arial" w:eastAsia="Arial" w:hAnsi="Arial"/>
                <w:sz w:val="12"/>
                <w:szCs w:val="12"/>
                <w:color w:val="1A475F"/>
              </w:rPr>
              <w:t>Udr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Choice Hotels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Houlihan Lokey</w:t>
            </w:r>
          </w:p>
        </w:tc>
        <w:tc>
          <w:tcPr>
            <w:tcW w:w="2400" w:type="dxa"/>
            <w:vAlign w:val="bottom"/>
          </w:tcPr>
          <w:p>
            <w:pPr>
              <w:ind w:left="300"/>
              <w:spacing w:after="0"/>
              <w:rPr>
                <w:sz w:val="20"/>
                <w:szCs w:val="20"/>
                <w:color w:val="auto"/>
              </w:rPr>
            </w:pPr>
            <w:r>
              <w:rPr>
                <w:rFonts w:ascii="Arial" w:cs="Arial" w:eastAsia="Arial" w:hAnsi="Arial"/>
                <w:sz w:val="12"/>
                <w:szCs w:val="12"/>
                <w:color w:val="1A475F"/>
              </w:rPr>
              <w:t>Pool Corp</w:t>
            </w:r>
          </w:p>
        </w:tc>
        <w:tc>
          <w:tcPr>
            <w:tcW w:w="2240" w:type="dxa"/>
            <w:vAlign w:val="bottom"/>
          </w:tcPr>
          <w:p>
            <w:pPr>
              <w:ind w:left="360"/>
              <w:spacing w:after="0"/>
              <w:rPr>
                <w:sz w:val="20"/>
                <w:szCs w:val="20"/>
                <w:color w:val="auto"/>
              </w:rPr>
            </w:pPr>
            <w:r>
              <w:rPr>
                <w:rFonts w:ascii="Arial" w:cs="Arial" w:eastAsia="Arial" w:hAnsi="Arial"/>
                <w:sz w:val="12"/>
                <w:szCs w:val="12"/>
                <w:color w:val="1A475F"/>
              </w:rPr>
              <w:t>Ulta Beauty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Churchill Downs</w:t>
            </w:r>
          </w:p>
        </w:tc>
        <w:tc>
          <w:tcPr>
            <w:tcW w:w="2340" w:type="dxa"/>
            <w:vAlign w:val="bottom"/>
          </w:tcPr>
          <w:p>
            <w:pPr>
              <w:ind w:left="280"/>
              <w:spacing w:after="0"/>
              <w:rPr>
                <w:sz w:val="20"/>
                <w:szCs w:val="20"/>
                <w:color w:val="auto"/>
              </w:rPr>
            </w:pPr>
            <w:r>
              <w:rPr>
                <w:rFonts w:ascii="Arial" w:cs="Arial" w:eastAsia="Arial" w:hAnsi="Arial"/>
                <w:sz w:val="12"/>
                <w:szCs w:val="12"/>
                <w:color w:val="1A475F"/>
              </w:rPr>
              <w:t>Howmet Aerospace</w:t>
            </w:r>
          </w:p>
        </w:tc>
        <w:tc>
          <w:tcPr>
            <w:tcW w:w="2400" w:type="dxa"/>
            <w:vAlign w:val="bottom"/>
          </w:tcPr>
          <w:p>
            <w:pPr>
              <w:ind w:left="300"/>
              <w:spacing w:after="0"/>
              <w:rPr>
                <w:sz w:val="20"/>
                <w:szCs w:val="20"/>
                <w:color w:val="auto"/>
              </w:rPr>
            </w:pPr>
            <w:r>
              <w:rPr>
                <w:rFonts w:ascii="Arial" w:cs="Arial" w:eastAsia="Arial" w:hAnsi="Arial"/>
                <w:sz w:val="12"/>
                <w:szCs w:val="12"/>
                <w:color w:val="1A475F"/>
              </w:rPr>
              <w:t>Popular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Ultragenyx Pharmaceutical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Circle Internet</w:t>
            </w:r>
          </w:p>
        </w:tc>
        <w:tc>
          <w:tcPr>
            <w:tcW w:w="2340" w:type="dxa"/>
            <w:vAlign w:val="bottom"/>
          </w:tcPr>
          <w:p>
            <w:pPr>
              <w:ind w:left="280"/>
              <w:spacing w:after="0"/>
              <w:rPr>
                <w:sz w:val="20"/>
                <w:szCs w:val="20"/>
                <w:color w:val="auto"/>
              </w:rPr>
            </w:pPr>
            <w:r>
              <w:rPr>
                <w:rFonts w:ascii="Arial" w:cs="Arial" w:eastAsia="Arial" w:hAnsi="Arial"/>
                <w:sz w:val="12"/>
                <w:szCs w:val="12"/>
                <w:color w:val="1A475F"/>
              </w:rPr>
              <w:t>Hubspot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Procore Technologies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Unity Software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Cloudflare</w:t>
            </w:r>
          </w:p>
        </w:tc>
        <w:tc>
          <w:tcPr>
            <w:tcW w:w="2340" w:type="dxa"/>
            <w:vAlign w:val="bottom"/>
          </w:tcPr>
          <w:p>
            <w:pPr>
              <w:ind w:left="280"/>
              <w:spacing w:after="0"/>
              <w:rPr>
                <w:sz w:val="20"/>
                <w:szCs w:val="20"/>
                <w:color w:val="auto"/>
              </w:rPr>
            </w:pPr>
            <w:r>
              <w:rPr>
                <w:rFonts w:ascii="Arial" w:cs="Arial" w:eastAsia="Arial" w:hAnsi="Arial"/>
                <w:sz w:val="12"/>
                <w:szCs w:val="12"/>
                <w:color w:val="1A475F"/>
              </w:rPr>
              <w:t>Idexx Labs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Ptc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UWM Holdings Corp</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Coca-Cola Consolidated</w:t>
            </w:r>
          </w:p>
        </w:tc>
        <w:tc>
          <w:tcPr>
            <w:tcW w:w="2340" w:type="dxa"/>
            <w:vAlign w:val="bottom"/>
          </w:tcPr>
          <w:p>
            <w:pPr>
              <w:ind w:left="280"/>
              <w:spacing w:after="0"/>
              <w:rPr>
                <w:sz w:val="20"/>
                <w:szCs w:val="20"/>
                <w:color w:val="auto"/>
              </w:rPr>
            </w:pPr>
            <w:r>
              <w:rPr>
                <w:rFonts w:ascii="Arial" w:cs="Arial" w:eastAsia="Arial" w:hAnsi="Arial"/>
                <w:sz w:val="12"/>
                <w:szCs w:val="12"/>
                <w:color w:val="1A475F"/>
              </w:rPr>
              <w:t>Incyte Corp</w:t>
            </w:r>
          </w:p>
        </w:tc>
        <w:tc>
          <w:tcPr>
            <w:tcW w:w="2400" w:type="dxa"/>
            <w:vAlign w:val="bottom"/>
          </w:tcPr>
          <w:p>
            <w:pPr>
              <w:ind w:left="300"/>
              <w:spacing w:after="0"/>
              <w:rPr>
                <w:sz w:val="20"/>
                <w:szCs w:val="20"/>
                <w:color w:val="auto"/>
              </w:rPr>
            </w:pPr>
            <w:r>
              <w:rPr>
                <w:rFonts w:ascii="Arial" w:cs="Arial" w:eastAsia="Arial" w:hAnsi="Arial"/>
                <w:sz w:val="12"/>
                <w:szCs w:val="12"/>
                <w:color w:val="1A475F"/>
              </w:rPr>
              <w:t>Pure Storage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Vail Resorts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Coinbase Global</w:t>
            </w:r>
          </w:p>
        </w:tc>
        <w:tc>
          <w:tcPr>
            <w:tcW w:w="2340" w:type="dxa"/>
            <w:vAlign w:val="bottom"/>
          </w:tcPr>
          <w:p>
            <w:pPr>
              <w:ind w:left="280"/>
              <w:spacing w:after="0"/>
              <w:rPr>
                <w:sz w:val="20"/>
                <w:szCs w:val="20"/>
                <w:color w:val="auto"/>
              </w:rPr>
            </w:pPr>
            <w:r>
              <w:rPr>
                <w:rFonts w:ascii="Arial" w:cs="Arial" w:eastAsia="Arial" w:hAnsi="Arial"/>
                <w:sz w:val="12"/>
                <w:szCs w:val="12"/>
                <w:color w:val="1A475F"/>
              </w:rPr>
              <w:t>Insmed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Quanta Services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Valvoline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Comfort Systems</w:t>
            </w:r>
          </w:p>
        </w:tc>
        <w:tc>
          <w:tcPr>
            <w:tcW w:w="2340" w:type="dxa"/>
            <w:vAlign w:val="bottom"/>
          </w:tcPr>
          <w:p>
            <w:pPr>
              <w:ind w:left="280"/>
              <w:spacing w:after="0"/>
              <w:rPr>
                <w:sz w:val="20"/>
                <w:szCs w:val="20"/>
                <w:color w:val="auto"/>
              </w:rPr>
            </w:pPr>
            <w:r>
              <w:rPr>
                <w:rFonts w:ascii="Arial" w:cs="Arial" w:eastAsia="Arial" w:hAnsi="Arial"/>
                <w:sz w:val="12"/>
                <w:szCs w:val="12"/>
                <w:color w:val="1A475F"/>
              </w:rPr>
              <w:t>Inspire Medical</w:t>
            </w:r>
          </w:p>
        </w:tc>
        <w:tc>
          <w:tcPr>
            <w:tcW w:w="2400" w:type="dxa"/>
            <w:vAlign w:val="bottom"/>
          </w:tcPr>
          <w:p>
            <w:pPr>
              <w:ind w:left="300"/>
              <w:spacing w:after="0"/>
              <w:rPr>
                <w:sz w:val="20"/>
                <w:szCs w:val="20"/>
                <w:color w:val="auto"/>
              </w:rPr>
            </w:pPr>
            <w:r>
              <w:rPr>
                <w:rFonts w:ascii="Arial" w:cs="Arial" w:eastAsia="Arial" w:hAnsi="Arial"/>
                <w:sz w:val="12"/>
                <w:szCs w:val="12"/>
                <w:color w:val="1A475F"/>
              </w:rPr>
              <w:t>Ralph Lauren Corp</w:t>
            </w:r>
          </w:p>
        </w:tc>
        <w:tc>
          <w:tcPr>
            <w:tcW w:w="2240" w:type="dxa"/>
            <w:vAlign w:val="bottom"/>
          </w:tcPr>
          <w:p>
            <w:pPr>
              <w:ind w:left="360"/>
              <w:spacing w:after="0"/>
              <w:rPr>
                <w:sz w:val="20"/>
                <w:szCs w:val="20"/>
                <w:color w:val="auto"/>
              </w:rPr>
            </w:pPr>
            <w:r>
              <w:rPr>
                <w:rFonts w:ascii="Arial" w:cs="Arial" w:eastAsia="Arial" w:hAnsi="Arial"/>
                <w:sz w:val="12"/>
                <w:szCs w:val="12"/>
                <w:color w:val="1A475F"/>
              </w:rPr>
              <w:t>Veeva Systems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Confluent</w:t>
            </w:r>
          </w:p>
        </w:tc>
        <w:tc>
          <w:tcPr>
            <w:tcW w:w="2340" w:type="dxa"/>
            <w:vAlign w:val="bottom"/>
          </w:tcPr>
          <w:p>
            <w:pPr>
              <w:ind w:left="280"/>
              <w:spacing w:after="0"/>
              <w:rPr>
                <w:sz w:val="20"/>
                <w:szCs w:val="20"/>
                <w:color w:val="auto"/>
              </w:rPr>
            </w:pPr>
            <w:r>
              <w:rPr>
                <w:rFonts w:ascii="Arial" w:cs="Arial" w:eastAsia="Arial" w:hAnsi="Arial"/>
                <w:sz w:val="12"/>
                <w:szCs w:val="12"/>
                <w:color w:val="1A475F"/>
              </w:rPr>
              <w:t>Insulet Corp</w:t>
            </w:r>
          </w:p>
        </w:tc>
        <w:tc>
          <w:tcPr>
            <w:tcW w:w="2400" w:type="dxa"/>
            <w:vAlign w:val="bottom"/>
          </w:tcPr>
          <w:p>
            <w:pPr>
              <w:ind w:left="300"/>
              <w:spacing w:after="0"/>
              <w:rPr>
                <w:sz w:val="20"/>
                <w:szCs w:val="20"/>
                <w:color w:val="auto"/>
              </w:rPr>
            </w:pPr>
            <w:r>
              <w:rPr>
                <w:rFonts w:ascii="Arial" w:cs="Arial" w:eastAsia="Arial" w:hAnsi="Arial"/>
                <w:sz w:val="12"/>
                <w:szCs w:val="12"/>
                <w:color w:val="1A475F"/>
              </w:rPr>
              <w:t>Rb Global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Veralto Corporation</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Corcept Therapeutics</w:t>
            </w:r>
          </w:p>
        </w:tc>
        <w:tc>
          <w:tcPr>
            <w:tcW w:w="2340" w:type="dxa"/>
            <w:vAlign w:val="bottom"/>
          </w:tcPr>
          <w:p>
            <w:pPr>
              <w:ind w:left="280"/>
              <w:spacing w:after="0"/>
              <w:rPr>
                <w:sz w:val="20"/>
                <w:szCs w:val="20"/>
                <w:color w:val="auto"/>
              </w:rPr>
            </w:pPr>
            <w:r>
              <w:rPr>
                <w:rFonts w:ascii="Arial" w:cs="Arial" w:eastAsia="Arial" w:hAnsi="Arial"/>
                <w:sz w:val="12"/>
                <w:szCs w:val="12"/>
                <w:color w:val="1A475F"/>
              </w:rPr>
              <w:t>Ionis Pharmaceuticals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Rbc Bearings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Verisk Analytics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Core &amp; Main</w:t>
            </w:r>
          </w:p>
        </w:tc>
        <w:tc>
          <w:tcPr>
            <w:tcW w:w="2340" w:type="dxa"/>
            <w:vAlign w:val="bottom"/>
          </w:tcPr>
          <w:p>
            <w:pPr>
              <w:ind w:left="280"/>
              <w:spacing w:after="0"/>
              <w:rPr>
                <w:sz w:val="20"/>
                <w:szCs w:val="20"/>
                <w:color w:val="auto"/>
              </w:rPr>
            </w:pPr>
            <w:r>
              <w:rPr>
                <w:rFonts w:ascii="Arial" w:cs="Arial" w:eastAsia="Arial" w:hAnsi="Arial"/>
                <w:sz w:val="12"/>
                <w:szCs w:val="12"/>
                <w:color w:val="1A475F"/>
              </w:rPr>
              <w:t>Iridium Communications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Reddit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Vertiv Holdings Co</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Corpay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Jabil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Repligen Corp</w:t>
            </w:r>
          </w:p>
        </w:tc>
        <w:tc>
          <w:tcPr>
            <w:tcW w:w="2240" w:type="dxa"/>
            <w:vAlign w:val="bottom"/>
          </w:tcPr>
          <w:p>
            <w:pPr>
              <w:ind w:left="360"/>
              <w:spacing w:after="0"/>
              <w:rPr>
                <w:sz w:val="20"/>
                <w:szCs w:val="20"/>
                <w:color w:val="auto"/>
              </w:rPr>
            </w:pPr>
            <w:r>
              <w:rPr>
                <w:rFonts w:ascii="Arial" w:cs="Arial" w:eastAsia="Arial" w:hAnsi="Arial"/>
                <w:sz w:val="12"/>
                <w:szCs w:val="12"/>
                <w:color w:val="1A475F"/>
              </w:rPr>
              <w:t>Viking Holdings Ltd</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Costar Group In</w:t>
            </w:r>
          </w:p>
        </w:tc>
        <w:tc>
          <w:tcPr>
            <w:tcW w:w="2340" w:type="dxa"/>
            <w:vAlign w:val="bottom"/>
          </w:tcPr>
          <w:p>
            <w:pPr>
              <w:ind w:left="280"/>
              <w:spacing w:after="0"/>
              <w:rPr>
                <w:sz w:val="20"/>
                <w:szCs w:val="20"/>
                <w:color w:val="auto"/>
              </w:rPr>
            </w:pPr>
            <w:r>
              <w:rPr>
                <w:rFonts w:ascii="Arial" w:cs="Arial" w:eastAsia="Arial" w:hAnsi="Arial"/>
                <w:sz w:val="12"/>
                <w:szCs w:val="12"/>
                <w:color w:val="1A475F"/>
              </w:rPr>
              <w:t>James Hardie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Resmed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Viking Therapeutics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Coupang</w:t>
            </w:r>
          </w:p>
        </w:tc>
        <w:tc>
          <w:tcPr>
            <w:tcW w:w="2340" w:type="dxa"/>
            <w:vAlign w:val="bottom"/>
          </w:tcPr>
          <w:p>
            <w:pPr>
              <w:ind w:left="280"/>
              <w:spacing w:after="0"/>
              <w:rPr>
                <w:sz w:val="20"/>
                <w:szCs w:val="20"/>
                <w:color w:val="auto"/>
              </w:rPr>
            </w:pPr>
            <w:r>
              <w:rPr>
                <w:rFonts w:ascii="Arial" w:cs="Arial" w:eastAsia="Arial" w:hAnsi="Arial"/>
                <w:sz w:val="12"/>
                <w:szCs w:val="12"/>
                <w:color w:val="1A475F"/>
              </w:rPr>
              <w:t>Jefferies Financial Group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Restaurant Brands International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Vistra Corp</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Credit Accep Co</w:t>
            </w:r>
          </w:p>
        </w:tc>
        <w:tc>
          <w:tcPr>
            <w:tcW w:w="2340" w:type="dxa"/>
            <w:vAlign w:val="bottom"/>
          </w:tcPr>
          <w:p>
            <w:pPr>
              <w:ind w:left="280"/>
              <w:spacing w:after="0"/>
              <w:rPr>
                <w:sz w:val="20"/>
                <w:szCs w:val="20"/>
                <w:color w:val="auto"/>
              </w:rPr>
            </w:pPr>
            <w:r>
              <w:rPr>
                <w:rFonts w:ascii="Arial" w:cs="Arial" w:eastAsia="Arial" w:hAnsi="Arial"/>
                <w:sz w:val="12"/>
                <w:szCs w:val="12"/>
                <w:color w:val="1A475F"/>
              </w:rPr>
              <w:t>Jones Lang Lasalle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Rh</w:t>
            </w:r>
          </w:p>
        </w:tc>
        <w:tc>
          <w:tcPr>
            <w:tcW w:w="2240" w:type="dxa"/>
            <w:vAlign w:val="bottom"/>
          </w:tcPr>
          <w:p>
            <w:pPr>
              <w:ind w:left="360"/>
              <w:spacing w:after="0"/>
              <w:rPr>
                <w:sz w:val="20"/>
                <w:szCs w:val="20"/>
                <w:color w:val="auto"/>
              </w:rPr>
            </w:pPr>
            <w:r>
              <w:rPr>
                <w:rFonts w:ascii="Arial" w:cs="Arial" w:eastAsia="Arial" w:hAnsi="Arial"/>
                <w:sz w:val="12"/>
                <w:szCs w:val="12"/>
                <w:color w:val="1A475F"/>
              </w:rPr>
              <w:t>Waters Corp</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Darden Restaurant</w:t>
            </w:r>
          </w:p>
        </w:tc>
        <w:tc>
          <w:tcPr>
            <w:tcW w:w="2340" w:type="dxa"/>
            <w:vAlign w:val="bottom"/>
          </w:tcPr>
          <w:p>
            <w:pPr>
              <w:ind w:left="280"/>
              <w:spacing w:after="0"/>
              <w:rPr>
                <w:sz w:val="20"/>
                <w:szCs w:val="20"/>
                <w:color w:val="auto"/>
              </w:rPr>
            </w:pPr>
            <w:r>
              <w:rPr>
                <w:rFonts w:ascii="Arial" w:cs="Arial" w:eastAsia="Arial" w:hAnsi="Arial"/>
                <w:sz w:val="12"/>
                <w:szCs w:val="12"/>
                <w:color w:val="1A475F"/>
              </w:rPr>
              <w:t>Karman Holdings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Ringcentral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Wayfair Inc</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Darling Ingredients</w:t>
            </w:r>
          </w:p>
        </w:tc>
        <w:tc>
          <w:tcPr>
            <w:tcW w:w="2340" w:type="dxa"/>
            <w:vAlign w:val="bottom"/>
          </w:tcPr>
          <w:p>
            <w:pPr>
              <w:ind w:left="280"/>
              <w:spacing w:after="0"/>
              <w:rPr>
                <w:sz w:val="20"/>
                <w:szCs w:val="20"/>
                <w:color w:val="auto"/>
              </w:rPr>
            </w:pPr>
            <w:r>
              <w:rPr>
                <w:rFonts w:ascii="Arial" w:cs="Arial" w:eastAsia="Arial" w:hAnsi="Arial"/>
                <w:sz w:val="12"/>
                <w:szCs w:val="12"/>
                <w:color w:val="1A475F"/>
              </w:rPr>
              <w:t>Kbr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Rli Corp</w:t>
            </w:r>
          </w:p>
        </w:tc>
        <w:tc>
          <w:tcPr>
            <w:tcW w:w="2240" w:type="dxa"/>
            <w:vAlign w:val="bottom"/>
          </w:tcPr>
          <w:p>
            <w:pPr>
              <w:ind w:left="360"/>
              <w:spacing w:after="0"/>
              <w:rPr>
                <w:sz w:val="20"/>
                <w:szCs w:val="20"/>
                <w:color w:val="auto"/>
              </w:rPr>
            </w:pPr>
            <w:r>
              <w:rPr>
                <w:rFonts w:ascii="Arial" w:cs="Arial" w:eastAsia="Arial" w:hAnsi="Arial"/>
                <w:sz w:val="12"/>
                <w:szCs w:val="12"/>
                <w:color w:val="1A475F"/>
              </w:rPr>
              <w:t>Western Alliance Bancorp</w:t>
            </w:r>
          </w:p>
        </w:tc>
        <w:tc>
          <w:tcPr>
            <w:tcW w:w="280" w:type="dxa"/>
            <w:vAlign w:val="bottom"/>
          </w:tcPr>
          <w:p>
            <w:pPr>
              <w:spacing w:after="0"/>
              <w:rPr>
                <w:sz w:val="12"/>
                <w:szCs w:val="12"/>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2"/>
                <w:szCs w:val="12"/>
                <w:color w:val="1A475F"/>
              </w:rPr>
              <w:t>Datadog</w:t>
            </w:r>
          </w:p>
        </w:tc>
        <w:tc>
          <w:tcPr>
            <w:tcW w:w="2340" w:type="dxa"/>
            <w:vAlign w:val="bottom"/>
          </w:tcPr>
          <w:p>
            <w:pPr>
              <w:ind w:left="280"/>
              <w:spacing w:after="0"/>
              <w:rPr>
                <w:sz w:val="20"/>
                <w:szCs w:val="20"/>
                <w:color w:val="auto"/>
              </w:rPr>
            </w:pPr>
            <w:r>
              <w:rPr>
                <w:rFonts w:ascii="Arial" w:cs="Arial" w:eastAsia="Arial" w:hAnsi="Arial"/>
                <w:sz w:val="12"/>
                <w:szCs w:val="12"/>
                <w:color w:val="1A475F"/>
              </w:rPr>
              <w:t>Kinsale Capital Group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Robinhood Markets Inc</w:t>
            </w:r>
          </w:p>
        </w:tc>
        <w:tc>
          <w:tcPr>
            <w:tcW w:w="2240" w:type="dxa"/>
            <w:vAlign w:val="bottom"/>
          </w:tcPr>
          <w:p>
            <w:pPr>
              <w:ind w:left="360"/>
              <w:spacing w:after="0"/>
              <w:rPr>
                <w:sz w:val="20"/>
                <w:szCs w:val="20"/>
                <w:color w:val="auto"/>
              </w:rPr>
            </w:pPr>
            <w:r>
              <w:rPr>
                <w:rFonts w:ascii="Arial" w:cs="Arial" w:eastAsia="Arial" w:hAnsi="Arial"/>
                <w:sz w:val="12"/>
                <w:szCs w:val="12"/>
                <w:color w:val="1A475F"/>
              </w:rPr>
              <w:t>Wex Inc</w:t>
            </w:r>
          </w:p>
        </w:tc>
        <w:tc>
          <w:tcPr>
            <w:tcW w:w="280" w:type="dxa"/>
            <w:vAlign w:val="bottom"/>
          </w:tcPr>
          <w:p>
            <w:pPr>
              <w:spacing w:after="0"/>
              <w:rPr>
                <w:sz w:val="12"/>
                <w:szCs w:val="12"/>
                <w:color w:val="auto"/>
              </w:rPr>
            </w:pPr>
          </w:p>
        </w:tc>
      </w:tr>
      <w:tr>
        <w:trPr>
          <w:trHeight w:val="162"/>
        </w:trPr>
        <w:tc>
          <w:tcPr>
            <w:tcW w:w="2180" w:type="dxa"/>
            <w:vAlign w:val="bottom"/>
          </w:tcPr>
          <w:p>
            <w:pPr>
              <w:spacing w:after="0"/>
              <w:rPr>
                <w:sz w:val="20"/>
                <w:szCs w:val="20"/>
                <w:color w:val="auto"/>
              </w:rPr>
            </w:pPr>
            <w:r>
              <w:rPr>
                <w:rFonts w:ascii="Arial" w:cs="Arial" w:eastAsia="Arial" w:hAnsi="Arial"/>
                <w:sz w:val="12"/>
                <w:szCs w:val="12"/>
                <w:color w:val="1A475F"/>
              </w:rPr>
              <w:t>Davita Inc</w:t>
            </w:r>
          </w:p>
        </w:tc>
        <w:tc>
          <w:tcPr>
            <w:tcW w:w="2340" w:type="dxa"/>
            <w:vAlign w:val="bottom"/>
          </w:tcPr>
          <w:p>
            <w:pPr>
              <w:ind w:left="280"/>
              <w:spacing w:after="0"/>
              <w:rPr>
                <w:sz w:val="20"/>
                <w:szCs w:val="20"/>
                <w:color w:val="auto"/>
              </w:rPr>
            </w:pPr>
            <w:r>
              <w:rPr>
                <w:rFonts w:ascii="Arial" w:cs="Arial" w:eastAsia="Arial" w:hAnsi="Arial"/>
                <w:sz w:val="12"/>
                <w:szCs w:val="12"/>
                <w:color w:val="1A475F"/>
              </w:rPr>
              <w:t>Kyndryl Holdings Inc</w:t>
            </w:r>
          </w:p>
        </w:tc>
        <w:tc>
          <w:tcPr>
            <w:tcW w:w="2400" w:type="dxa"/>
            <w:vAlign w:val="bottom"/>
          </w:tcPr>
          <w:p>
            <w:pPr>
              <w:ind w:left="300"/>
              <w:spacing w:after="0"/>
              <w:rPr>
                <w:sz w:val="20"/>
                <w:szCs w:val="20"/>
                <w:color w:val="auto"/>
              </w:rPr>
            </w:pPr>
            <w:r>
              <w:rPr>
                <w:rFonts w:ascii="Arial" w:cs="Arial" w:eastAsia="Arial" w:hAnsi="Arial"/>
                <w:sz w:val="12"/>
                <w:szCs w:val="12"/>
                <w:color w:val="1A475F"/>
              </w:rPr>
              <w:t>Roblox</w:t>
            </w:r>
          </w:p>
        </w:tc>
        <w:tc>
          <w:tcPr>
            <w:tcW w:w="2240" w:type="dxa"/>
            <w:vAlign w:val="bottom"/>
          </w:tcPr>
          <w:p>
            <w:pPr>
              <w:ind w:left="360"/>
              <w:spacing w:after="0"/>
              <w:rPr>
                <w:sz w:val="20"/>
                <w:szCs w:val="20"/>
                <w:color w:val="auto"/>
              </w:rPr>
            </w:pPr>
            <w:r>
              <w:rPr>
                <w:rFonts w:ascii="Arial" w:cs="Arial" w:eastAsia="Arial" w:hAnsi="Arial"/>
                <w:sz w:val="12"/>
                <w:szCs w:val="12"/>
                <w:color w:val="1A475F"/>
              </w:rPr>
              <w:t>Williams Sonoma Inc</w:t>
            </w:r>
          </w:p>
        </w:tc>
        <w:tc>
          <w:tcPr>
            <w:tcW w:w="280" w:type="dxa"/>
            <w:vAlign w:val="bottom"/>
          </w:tcPr>
          <w:p>
            <w:pPr>
              <w:spacing w:after="0"/>
              <w:rPr>
                <w:sz w:val="14"/>
                <w:szCs w:val="14"/>
                <w:color w:val="auto"/>
              </w:rPr>
            </w:pPr>
          </w:p>
        </w:tc>
      </w:tr>
      <w:tr>
        <w:trPr>
          <w:trHeight w:val="307"/>
        </w:trPr>
        <w:tc>
          <w:tcPr>
            <w:tcW w:w="2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5"/>
                <w:szCs w:val="15"/>
                <w:b w:val="1"/>
                <w:bCs w:val="1"/>
                <w:color w:val="1A475F"/>
              </w:rPr>
              <w:t>  2026 Proxy Statement   |</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1A475F"/>
              </w:rPr>
              <w:t>A-1</w:t>
            </w:r>
          </w:p>
        </w:tc>
      </w:tr>
    </w:tbl>
    <w:p>
      <w:pPr>
        <w:sectPr>
          <w:pgSz w:w="11900" w:h="16838" w:orient="portrait"/>
          <w:cols w:equalWidth="0" w:num="1">
            <w:col w:w="10340"/>
          </w:cols>
          <w:pgMar w:left="320" w:top="434" w:right="1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900" w:type="dxa"/>
        <w:tblCellMar>
          <w:top w:w="0" w:type="dxa"/>
          <w:left w:w="0" w:type="dxa"/>
          <w:bottom w:w="0" w:type="dxa"/>
          <w:right w:w="0" w:type="dxa"/>
        </w:tblCellMar>
      </w:tblPr>
      <w:tr>
        <w:trPr>
          <w:trHeight w:val="139"/>
        </w:trPr>
        <w:tc>
          <w:tcPr>
            <w:tcW w:w="1900" w:type="dxa"/>
            <w:vAlign w:val="bottom"/>
          </w:tcPr>
          <w:p>
            <w:pPr>
              <w:spacing w:after="0"/>
              <w:rPr>
                <w:sz w:val="20"/>
                <w:szCs w:val="20"/>
                <w:color w:val="auto"/>
              </w:rPr>
            </w:pPr>
            <w:r>
              <w:rPr>
                <w:rFonts w:ascii="Arial" w:cs="Arial" w:eastAsia="Arial" w:hAnsi="Arial"/>
                <w:sz w:val="12"/>
                <w:szCs w:val="12"/>
                <w:color w:val="1A475F"/>
              </w:rPr>
              <w:t>Dayforce Inc</w:t>
            </w:r>
          </w:p>
        </w:tc>
        <w:tc>
          <w:tcPr>
            <w:tcW w:w="2520" w:type="dxa"/>
            <w:vAlign w:val="bottom"/>
          </w:tcPr>
          <w:p>
            <w:pPr>
              <w:ind w:left="580"/>
              <w:spacing w:after="0"/>
              <w:rPr>
                <w:sz w:val="20"/>
                <w:szCs w:val="20"/>
                <w:color w:val="auto"/>
              </w:rPr>
            </w:pPr>
            <w:r>
              <w:rPr>
                <w:rFonts w:ascii="Arial" w:cs="Arial" w:eastAsia="Arial" w:hAnsi="Arial"/>
                <w:sz w:val="12"/>
                <w:szCs w:val="12"/>
                <w:color w:val="1A475F"/>
              </w:rPr>
              <w:t>Lamar Advertising Co</w:t>
            </w:r>
          </w:p>
        </w:tc>
        <w:tc>
          <w:tcPr>
            <w:tcW w:w="2420" w:type="dxa"/>
            <w:vAlign w:val="bottom"/>
          </w:tcPr>
          <w:p>
            <w:pPr>
              <w:ind w:left="400"/>
              <w:spacing w:after="0"/>
              <w:rPr>
                <w:sz w:val="20"/>
                <w:szCs w:val="20"/>
                <w:color w:val="auto"/>
              </w:rPr>
            </w:pPr>
            <w:r>
              <w:rPr>
                <w:rFonts w:ascii="Arial" w:cs="Arial" w:eastAsia="Arial" w:hAnsi="Arial"/>
                <w:sz w:val="12"/>
                <w:szCs w:val="12"/>
                <w:color w:val="1A475F"/>
              </w:rPr>
              <w:t>Rocket Lab Corp</w:t>
            </w:r>
          </w:p>
        </w:tc>
        <w:tc>
          <w:tcPr>
            <w:tcW w:w="1680" w:type="dxa"/>
            <w:vAlign w:val="bottom"/>
          </w:tcPr>
          <w:p>
            <w:pPr>
              <w:ind w:left="440"/>
              <w:spacing w:after="0"/>
              <w:rPr>
                <w:sz w:val="20"/>
                <w:szCs w:val="20"/>
                <w:color w:val="auto"/>
              </w:rPr>
            </w:pPr>
            <w:r>
              <w:rPr>
                <w:rFonts w:ascii="Arial" w:cs="Arial" w:eastAsia="Arial" w:hAnsi="Arial"/>
                <w:sz w:val="12"/>
                <w:szCs w:val="12"/>
                <w:color w:val="1A475F"/>
              </w:rPr>
              <w:t>Willscot Holdings Corp</w:t>
            </w:r>
          </w:p>
        </w:tc>
      </w:tr>
      <w:tr>
        <w:trPr>
          <w:trHeight w:val="139"/>
        </w:trPr>
        <w:tc>
          <w:tcPr>
            <w:tcW w:w="1900" w:type="dxa"/>
            <w:vAlign w:val="bottom"/>
          </w:tcPr>
          <w:p>
            <w:pPr>
              <w:spacing w:after="0"/>
              <w:rPr>
                <w:sz w:val="20"/>
                <w:szCs w:val="20"/>
                <w:color w:val="auto"/>
              </w:rPr>
            </w:pPr>
            <w:r>
              <w:rPr>
                <w:rFonts w:ascii="Arial" w:cs="Arial" w:eastAsia="Arial" w:hAnsi="Arial"/>
                <w:sz w:val="12"/>
                <w:szCs w:val="12"/>
                <w:color w:val="1A475F"/>
              </w:rPr>
              <w:t>Deckers Outdoor Group</w:t>
            </w:r>
          </w:p>
        </w:tc>
        <w:tc>
          <w:tcPr>
            <w:tcW w:w="2520" w:type="dxa"/>
            <w:vAlign w:val="bottom"/>
          </w:tcPr>
          <w:p>
            <w:pPr>
              <w:ind w:left="580"/>
              <w:spacing w:after="0"/>
              <w:rPr>
                <w:sz w:val="20"/>
                <w:szCs w:val="20"/>
                <w:color w:val="auto"/>
              </w:rPr>
            </w:pPr>
            <w:r>
              <w:rPr>
                <w:rFonts w:ascii="Arial" w:cs="Arial" w:eastAsia="Arial" w:hAnsi="Arial"/>
                <w:sz w:val="12"/>
                <w:szCs w:val="12"/>
                <w:color w:val="1A475F"/>
              </w:rPr>
              <w:t>Las Vegas Sands Corp</w:t>
            </w:r>
          </w:p>
        </w:tc>
        <w:tc>
          <w:tcPr>
            <w:tcW w:w="2420" w:type="dxa"/>
            <w:vAlign w:val="bottom"/>
          </w:tcPr>
          <w:p>
            <w:pPr>
              <w:ind w:left="400"/>
              <w:spacing w:after="0"/>
              <w:rPr>
                <w:sz w:val="20"/>
                <w:szCs w:val="20"/>
                <w:color w:val="auto"/>
              </w:rPr>
            </w:pPr>
            <w:r>
              <w:rPr>
                <w:rFonts w:ascii="Arial" w:cs="Arial" w:eastAsia="Arial" w:hAnsi="Arial"/>
                <w:sz w:val="12"/>
                <w:szCs w:val="12"/>
                <w:color w:val="1A475F"/>
              </w:rPr>
              <w:t>Rockwell Automation Inc</w:t>
            </w:r>
          </w:p>
        </w:tc>
        <w:tc>
          <w:tcPr>
            <w:tcW w:w="1680" w:type="dxa"/>
            <w:vAlign w:val="bottom"/>
          </w:tcPr>
          <w:p>
            <w:pPr>
              <w:ind w:left="440"/>
              <w:spacing w:after="0"/>
              <w:rPr>
                <w:sz w:val="20"/>
                <w:szCs w:val="20"/>
                <w:color w:val="auto"/>
              </w:rPr>
            </w:pPr>
            <w:r>
              <w:rPr>
                <w:rFonts w:ascii="Arial" w:cs="Arial" w:eastAsia="Arial" w:hAnsi="Arial"/>
                <w:sz w:val="12"/>
                <w:szCs w:val="12"/>
                <w:color w:val="1A475F"/>
              </w:rPr>
              <w:t>Wingstop Inc</w:t>
            </w:r>
          </w:p>
        </w:tc>
      </w:tr>
      <w:tr>
        <w:trPr>
          <w:trHeight w:val="139"/>
        </w:trPr>
        <w:tc>
          <w:tcPr>
            <w:tcW w:w="1900" w:type="dxa"/>
            <w:vAlign w:val="bottom"/>
          </w:tcPr>
          <w:p>
            <w:pPr>
              <w:spacing w:after="0"/>
              <w:rPr>
                <w:sz w:val="20"/>
                <w:szCs w:val="20"/>
                <w:color w:val="auto"/>
              </w:rPr>
            </w:pPr>
            <w:r>
              <w:rPr>
                <w:rFonts w:ascii="Arial" w:cs="Arial" w:eastAsia="Arial" w:hAnsi="Arial"/>
                <w:sz w:val="12"/>
                <w:szCs w:val="12"/>
                <w:color w:val="1A475F"/>
              </w:rPr>
              <w:t>Dexcom Inc</w:t>
            </w:r>
          </w:p>
        </w:tc>
        <w:tc>
          <w:tcPr>
            <w:tcW w:w="2520" w:type="dxa"/>
            <w:vAlign w:val="bottom"/>
          </w:tcPr>
          <w:p>
            <w:pPr>
              <w:ind w:left="580"/>
              <w:spacing w:after="0"/>
              <w:rPr>
                <w:sz w:val="20"/>
                <w:szCs w:val="20"/>
                <w:color w:val="auto"/>
              </w:rPr>
            </w:pPr>
            <w:r>
              <w:rPr>
                <w:rFonts w:ascii="Arial" w:cs="Arial" w:eastAsia="Arial" w:hAnsi="Arial"/>
                <w:sz w:val="12"/>
                <w:szCs w:val="12"/>
                <w:color w:val="1A475F"/>
              </w:rPr>
              <w:t>Lattice Semiconductor Corp</w:t>
            </w:r>
          </w:p>
        </w:tc>
        <w:tc>
          <w:tcPr>
            <w:tcW w:w="2420" w:type="dxa"/>
            <w:vAlign w:val="bottom"/>
          </w:tcPr>
          <w:p>
            <w:pPr>
              <w:ind w:left="400"/>
              <w:spacing w:after="0"/>
              <w:rPr>
                <w:sz w:val="20"/>
                <w:szCs w:val="20"/>
                <w:color w:val="auto"/>
              </w:rPr>
            </w:pPr>
            <w:r>
              <w:rPr>
                <w:rFonts w:ascii="Arial" w:cs="Arial" w:eastAsia="Arial" w:hAnsi="Arial"/>
                <w:sz w:val="12"/>
                <w:szCs w:val="12"/>
                <w:color w:val="1A475F"/>
              </w:rPr>
              <w:t>Roku Inc</w:t>
            </w:r>
          </w:p>
        </w:tc>
        <w:tc>
          <w:tcPr>
            <w:tcW w:w="1680" w:type="dxa"/>
            <w:vAlign w:val="bottom"/>
          </w:tcPr>
          <w:p>
            <w:pPr>
              <w:ind w:left="440"/>
              <w:spacing w:after="0"/>
              <w:rPr>
                <w:sz w:val="20"/>
                <w:szCs w:val="20"/>
                <w:color w:val="auto"/>
              </w:rPr>
            </w:pPr>
            <w:r>
              <w:rPr>
                <w:rFonts w:ascii="Arial" w:cs="Arial" w:eastAsia="Arial" w:hAnsi="Arial"/>
                <w:sz w:val="12"/>
                <w:szCs w:val="12"/>
                <w:color w:val="1A475F"/>
              </w:rPr>
              <w:t>Wyndham Hotels</w:t>
            </w:r>
          </w:p>
        </w:tc>
      </w:tr>
      <w:tr>
        <w:trPr>
          <w:trHeight w:val="139"/>
        </w:trPr>
        <w:tc>
          <w:tcPr>
            <w:tcW w:w="1900" w:type="dxa"/>
            <w:vAlign w:val="bottom"/>
          </w:tcPr>
          <w:p>
            <w:pPr>
              <w:spacing w:after="0"/>
              <w:rPr>
                <w:sz w:val="20"/>
                <w:szCs w:val="20"/>
                <w:color w:val="auto"/>
              </w:rPr>
            </w:pPr>
            <w:r>
              <w:rPr>
                <w:rFonts w:ascii="Arial" w:cs="Arial" w:eastAsia="Arial" w:hAnsi="Arial"/>
                <w:sz w:val="12"/>
                <w:szCs w:val="12"/>
                <w:color w:val="1A475F"/>
              </w:rPr>
              <w:t>Docusign Inc</w:t>
            </w:r>
          </w:p>
        </w:tc>
        <w:tc>
          <w:tcPr>
            <w:tcW w:w="2520" w:type="dxa"/>
            <w:vAlign w:val="bottom"/>
          </w:tcPr>
          <w:p>
            <w:pPr>
              <w:ind w:left="580"/>
              <w:spacing w:after="0"/>
              <w:rPr>
                <w:sz w:val="20"/>
                <w:szCs w:val="20"/>
                <w:color w:val="auto"/>
              </w:rPr>
            </w:pPr>
            <w:r>
              <w:rPr>
                <w:rFonts w:ascii="Arial" w:cs="Arial" w:eastAsia="Arial" w:hAnsi="Arial"/>
                <w:sz w:val="12"/>
                <w:szCs w:val="12"/>
                <w:color w:val="1A475F"/>
              </w:rPr>
              <w:t>Lazard Inc</w:t>
            </w:r>
          </w:p>
        </w:tc>
        <w:tc>
          <w:tcPr>
            <w:tcW w:w="2420" w:type="dxa"/>
            <w:vAlign w:val="bottom"/>
          </w:tcPr>
          <w:p>
            <w:pPr>
              <w:ind w:left="400"/>
              <w:spacing w:after="0"/>
              <w:rPr>
                <w:sz w:val="20"/>
                <w:szCs w:val="20"/>
                <w:color w:val="auto"/>
              </w:rPr>
            </w:pPr>
            <w:r>
              <w:rPr>
                <w:rFonts w:ascii="Arial" w:cs="Arial" w:eastAsia="Arial" w:hAnsi="Arial"/>
                <w:sz w:val="12"/>
                <w:szCs w:val="12"/>
                <w:color w:val="1A475F"/>
              </w:rPr>
              <w:t>Rollins Inc</w:t>
            </w:r>
          </w:p>
        </w:tc>
        <w:tc>
          <w:tcPr>
            <w:tcW w:w="1680" w:type="dxa"/>
            <w:vAlign w:val="bottom"/>
          </w:tcPr>
          <w:p>
            <w:pPr>
              <w:ind w:left="440"/>
              <w:spacing w:after="0"/>
              <w:rPr>
                <w:sz w:val="20"/>
                <w:szCs w:val="20"/>
                <w:color w:val="auto"/>
              </w:rPr>
            </w:pPr>
            <w:r>
              <w:rPr>
                <w:rFonts w:ascii="Arial" w:cs="Arial" w:eastAsia="Arial" w:hAnsi="Arial"/>
                <w:sz w:val="12"/>
                <w:szCs w:val="12"/>
                <w:color w:val="1A475F"/>
              </w:rPr>
              <w:t>Xp Inc</w:t>
            </w:r>
          </w:p>
        </w:tc>
      </w:tr>
      <w:tr>
        <w:trPr>
          <w:trHeight w:val="139"/>
        </w:trPr>
        <w:tc>
          <w:tcPr>
            <w:tcW w:w="1900" w:type="dxa"/>
            <w:vAlign w:val="bottom"/>
          </w:tcPr>
          <w:p>
            <w:pPr>
              <w:spacing w:after="0"/>
              <w:rPr>
                <w:sz w:val="20"/>
                <w:szCs w:val="20"/>
                <w:color w:val="auto"/>
              </w:rPr>
            </w:pPr>
            <w:r>
              <w:rPr>
                <w:rFonts w:ascii="Arial" w:cs="Arial" w:eastAsia="Arial" w:hAnsi="Arial"/>
                <w:sz w:val="12"/>
                <w:szCs w:val="12"/>
                <w:color w:val="1A475F"/>
              </w:rPr>
              <w:t>Dominos Pizza Inc</w:t>
            </w:r>
          </w:p>
        </w:tc>
        <w:tc>
          <w:tcPr>
            <w:tcW w:w="2520" w:type="dxa"/>
            <w:vAlign w:val="bottom"/>
          </w:tcPr>
          <w:p>
            <w:pPr>
              <w:ind w:left="580"/>
              <w:spacing w:after="0"/>
              <w:rPr>
                <w:sz w:val="20"/>
                <w:szCs w:val="20"/>
                <w:color w:val="auto"/>
              </w:rPr>
            </w:pPr>
            <w:r>
              <w:rPr>
                <w:rFonts w:ascii="Arial" w:cs="Arial" w:eastAsia="Arial" w:hAnsi="Arial"/>
                <w:sz w:val="12"/>
                <w:szCs w:val="12"/>
                <w:color w:val="1A475F"/>
              </w:rPr>
              <w:t>Lennox International Inc</w:t>
            </w:r>
          </w:p>
        </w:tc>
        <w:tc>
          <w:tcPr>
            <w:tcW w:w="2420" w:type="dxa"/>
            <w:vAlign w:val="bottom"/>
          </w:tcPr>
          <w:p>
            <w:pPr>
              <w:ind w:left="400"/>
              <w:spacing w:after="0"/>
              <w:rPr>
                <w:sz w:val="20"/>
                <w:szCs w:val="20"/>
                <w:color w:val="auto"/>
              </w:rPr>
            </w:pPr>
            <w:r>
              <w:rPr>
                <w:rFonts w:ascii="Arial" w:cs="Arial" w:eastAsia="Arial" w:hAnsi="Arial"/>
                <w:sz w:val="12"/>
                <w:szCs w:val="12"/>
                <w:color w:val="1A475F"/>
              </w:rPr>
              <w:t>Ross Stores Inc</w:t>
            </w:r>
          </w:p>
        </w:tc>
        <w:tc>
          <w:tcPr>
            <w:tcW w:w="1680" w:type="dxa"/>
            <w:vAlign w:val="bottom"/>
          </w:tcPr>
          <w:p>
            <w:pPr>
              <w:ind w:left="440"/>
              <w:spacing w:after="0"/>
              <w:rPr>
                <w:sz w:val="20"/>
                <w:szCs w:val="20"/>
                <w:color w:val="auto"/>
              </w:rPr>
            </w:pPr>
            <w:r>
              <w:rPr>
                <w:rFonts w:ascii="Arial" w:cs="Arial" w:eastAsia="Arial" w:hAnsi="Arial"/>
                <w:sz w:val="12"/>
                <w:szCs w:val="12"/>
                <w:color w:val="1A475F"/>
              </w:rPr>
              <w:t>Xpo Inc</w:t>
            </w:r>
          </w:p>
        </w:tc>
      </w:tr>
      <w:tr>
        <w:trPr>
          <w:trHeight w:val="139"/>
        </w:trPr>
        <w:tc>
          <w:tcPr>
            <w:tcW w:w="1900" w:type="dxa"/>
            <w:vAlign w:val="bottom"/>
          </w:tcPr>
          <w:p>
            <w:pPr>
              <w:spacing w:after="0"/>
              <w:rPr>
                <w:sz w:val="20"/>
                <w:szCs w:val="20"/>
                <w:color w:val="auto"/>
              </w:rPr>
            </w:pPr>
            <w:r>
              <w:rPr>
                <w:rFonts w:ascii="Arial" w:cs="Arial" w:eastAsia="Arial" w:hAnsi="Arial"/>
                <w:sz w:val="12"/>
                <w:szCs w:val="12"/>
                <w:color w:val="1A475F"/>
              </w:rPr>
              <w:t>Doubleverify Holdings</w:t>
            </w:r>
          </w:p>
        </w:tc>
        <w:tc>
          <w:tcPr>
            <w:tcW w:w="2520" w:type="dxa"/>
            <w:vAlign w:val="bottom"/>
          </w:tcPr>
          <w:p>
            <w:pPr>
              <w:ind w:left="580"/>
              <w:spacing w:after="0"/>
              <w:rPr>
                <w:sz w:val="20"/>
                <w:szCs w:val="20"/>
                <w:color w:val="auto"/>
              </w:rPr>
            </w:pPr>
            <w:r>
              <w:rPr>
                <w:rFonts w:ascii="Arial" w:cs="Arial" w:eastAsia="Arial" w:hAnsi="Arial"/>
                <w:sz w:val="12"/>
                <w:szCs w:val="12"/>
                <w:color w:val="1A475F"/>
              </w:rPr>
              <w:t>Leonardo Drs Inc</w:t>
            </w:r>
          </w:p>
        </w:tc>
        <w:tc>
          <w:tcPr>
            <w:tcW w:w="2420" w:type="dxa"/>
            <w:vAlign w:val="bottom"/>
          </w:tcPr>
          <w:p>
            <w:pPr>
              <w:ind w:left="400"/>
              <w:spacing w:after="0"/>
              <w:rPr>
                <w:sz w:val="20"/>
                <w:szCs w:val="20"/>
                <w:color w:val="auto"/>
              </w:rPr>
            </w:pPr>
            <w:r>
              <w:rPr>
                <w:rFonts w:ascii="Arial" w:cs="Arial" w:eastAsia="Arial" w:hAnsi="Arial"/>
                <w:sz w:val="12"/>
                <w:szCs w:val="12"/>
                <w:color w:val="1A475F"/>
              </w:rPr>
              <w:t>Royal Caribbean Cruises Ltd</w:t>
            </w:r>
          </w:p>
        </w:tc>
        <w:tc>
          <w:tcPr>
            <w:tcW w:w="1680" w:type="dxa"/>
            <w:vAlign w:val="bottom"/>
          </w:tcPr>
          <w:p>
            <w:pPr>
              <w:ind w:left="440"/>
              <w:spacing w:after="0"/>
              <w:rPr>
                <w:sz w:val="20"/>
                <w:szCs w:val="20"/>
                <w:color w:val="auto"/>
              </w:rPr>
            </w:pPr>
            <w:r>
              <w:rPr>
                <w:rFonts w:ascii="Arial" w:cs="Arial" w:eastAsia="Arial" w:hAnsi="Arial"/>
                <w:sz w:val="12"/>
                <w:szCs w:val="12"/>
                <w:color w:val="1A475F"/>
              </w:rPr>
              <w:t>Yum! Brands Inc</w:t>
            </w:r>
          </w:p>
        </w:tc>
      </w:tr>
      <w:tr>
        <w:trPr>
          <w:trHeight w:val="162"/>
        </w:trPr>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ind w:left="440"/>
              <w:spacing w:after="0"/>
              <w:rPr>
                <w:sz w:val="20"/>
                <w:szCs w:val="20"/>
                <w:color w:val="auto"/>
              </w:rPr>
            </w:pPr>
            <w:r>
              <w:rPr>
                <w:rFonts w:ascii="Arial" w:cs="Arial" w:eastAsia="Arial" w:hAnsi="Arial"/>
                <w:sz w:val="12"/>
                <w:szCs w:val="12"/>
                <w:color w:val="1A475F"/>
              </w:rPr>
              <w:t>Zscaler Inc</w:t>
            </w:r>
          </w:p>
        </w:tc>
      </w:tr>
    </w:tbl>
    <w:p>
      <w:pPr>
        <w:spacing w:after="0" w:line="72"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1A475F"/>
        </w:rPr>
        <w:t>*Source: Zacks Investment Research, Inc. Used with permission. All rights reserved. Copyright 1980-2026.</w:t>
      </w:r>
    </w:p>
    <w:p>
      <w:pPr>
        <w:spacing w:after="0" w:line="117"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5"/>
          <w:szCs w:val="15"/>
          <w:b w:val="1"/>
          <w:bCs w:val="1"/>
          <w:color w:val="1A475F"/>
        </w:rPr>
        <w:t>A-2</w:t>
        <w:tab/>
        <w:t>|    Bright Horizons </w:t>
      </w:r>
    </w:p>
    <w:p>
      <w:pPr>
        <w:sectPr>
          <w:pgSz w:w="11900" w:h="16838" w:orient="portrait"/>
          <w:cols w:equalWidth="0" w:num="1">
            <w:col w:w="10139"/>
          </w:cols>
          <w:pgMar w:left="320" w:top="43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189230</wp:posOffset>
            </wp:positionV>
            <wp:extent cx="5534660" cy="71812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34660" cy="7181215"/>
                    </a:xfrm>
                    <a:prstGeom prst="rect">
                      <a:avLst/>
                    </a:prstGeom>
                    <a:noFill/>
                  </pic:spPr>
                </pic:pic>
              </a:graphicData>
            </a:graphic>
          </wp:anchor>
        </w:drawing>
      </w:r>
    </w:p>
    <w:p>
      <w:pPr>
        <w:sectPr>
          <w:pgSz w:w="11900" w:h="16838" w:orient="portrait"/>
          <w:cols w:equalWidth="0" w:num="1">
            <w:col w:w="10139"/>
          </w:cols>
          <w:pgMar w:left="320" w:top="433"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49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92010"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189230</wp:posOffset>
            </wp:positionV>
            <wp:extent cx="5534660" cy="71812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34660" cy="7181215"/>
                    </a:xfrm>
                    <a:prstGeom prst="rect">
                      <a:avLst/>
                    </a:prstGeom>
                    <a:noFill/>
                  </pic:spPr>
                </pic:pic>
              </a:graphicData>
            </a:graphic>
          </wp:anchor>
        </w:drawing>
      </w:r>
    </w:p>
    <w:sectPr>
      <w:pgSz w:w="11900" w:h="16838" w:orient="portrait"/>
      <w:cols w:equalWidth="0" w:num="1">
        <w:col w:w="10139"/>
      </w:cols>
      <w:pgMar w:left="320" w:top="4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2"/>
      <w:numFmt w:val="bullet"/>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4"/>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6"/>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8"/>
      <w:numFmt w:val="bullet"/>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lvl w:ilvl="1">
      <w:lvlJc w:val="left"/>
      <w:lvlText w:val="•"/>
      <w:numFmt w:val="bullet"/>
      <w:start w:val="1"/>
    </w:lvl>
  </w:abstractNum>
  <w:abstractNum w:abstractNumId="27">
    <w:nsid w:val="275AC794"/>
    <w:multiLevelType w:val="hybridMultilevel"/>
    <w:lvl w:ilvl="0">
      <w:lvlJc w:val="left"/>
      <w:lvlText w:val=" "/>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1)"/>
      <w:numFmt w:val="lowerLetter"/>
      <w:start w:val="2"/>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2"/>
    </w:lvl>
  </w:abstractNum>
  <w:abstractNum w:abstractNumId="36">
    <w:nsid w:val="D34B6A8"/>
    <w:multiLevelType w:val="hybridMultilevel"/>
    <w:lvl w:ilvl="0">
      <w:lvlJc w:val="left"/>
      <w:lvlText w:val="•"/>
      <w:numFmt w:val="bullet"/>
      <w:start w:val="1"/>
    </w:lvl>
    <w:lvl w:ilvl="1">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lvl w:ilvl="1">
      <w:lvlJc w:val="left"/>
      <w:lvlText w:val="•"/>
      <w:numFmt w:val="bullet"/>
      <w:start w:val="1"/>
    </w:lvl>
  </w:abstractNum>
  <w:abstractNum w:abstractNumId="43">
    <w:nsid w:val="310C50B3"/>
    <w:multiLevelType w:val="hybridMultilevel"/>
    <w:lvl w:ilvl="0">
      <w:lvlJc w:val="left"/>
      <w:lvlText w:val=" "/>
      <w:numFmt w:val="bullet"/>
      <w:start w:val="1"/>
    </w:lvl>
  </w:abstractNum>
  <w:abstractNum w:abstractNumId="44">
    <w:nsid w:val="5FF87E05"/>
    <w:multiLevelType w:val="hybridMultilevel"/>
    <w:lvl w:ilvl="0">
      <w:lvlJc w:val="left"/>
      <w:lvlText w:val=" "/>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
      <w:numFmt w:val="bullet"/>
      <w:start w:val="1"/>
    </w:lvl>
    <w:lvl w:ilvl="1">
      <w:lvlJc w:val="left"/>
      <w:lvlText w:val="•"/>
      <w:numFmt w:val="bullet"/>
      <w:start w:val="1"/>
    </w:lvl>
  </w:abstractNum>
  <w:abstractNum w:abstractNumId="48">
    <w:nsid w:val="4AD084E9"/>
    <w:multiLevelType w:val="hybridMultilevel"/>
    <w:lvl w:ilvl="0">
      <w:lvlJc w:val="left"/>
      <w:lvlText w:val=" "/>
      <w:numFmt w:val="bullet"/>
      <w:start w:val="1"/>
    </w:lvl>
    <w:lvl w:ilvl="1">
      <w:lvlJc w:val="left"/>
      <w:lvlText w:val="•"/>
      <w:numFmt w:val="bullet"/>
      <w:start w:val="1"/>
    </w:lvl>
  </w:abstractNum>
  <w:abstractNum w:abstractNumId="49">
    <w:nsid w:val="1F48EAA1"/>
    <w:multiLevelType w:val="hybridMultilevel"/>
    <w:lvl w:ilvl="0">
      <w:lvlJc w:val="left"/>
      <w:lvlText w:val=" "/>
      <w:numFmt w:val="bullet"/>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 "/>
      <w:numFmt w:val="bullet"/>
      <w:start w:val="1"/>
    </w:lvl>
  </w:abstractNum>
  <w:abstractNum w:abstractNumId="57">
    <w:nsid w:val="799D0247"/>
    <w:multiLevelType w:val="hybridMultilevel"/>
    <w:lvl w:ilvl="0">
      <w:lvlJc w:val="left"/>
      <w:lvlText w:val="(%1)"/>
      <w:numFmt w:val="decimal"/>
      <w:start w:val="4"/>
    </w:lvl>
  </w:abstractNum>
  <w:abstractNum w:abstractNumId="58">
    <w:nsid w:val="6B94764"/>
    <w:multiLevelType w:val="hybridMultilevel"/>
    <w:lvl w:ilvl="0">
      <w:lvlJc w:val="left"/>
      <w:lvlText w:val="(%1)"/>
      <w:numFmt w:val="decimal"/>
      <w:start w:val="6"/>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3"/>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2"/>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decimal"/>
      <w:start w:val="2"/>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4"/>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decimal"/>
      <w:start w:val="4"/>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3"/>
    </w:lvl>
  </w:abstractNum>
  <w:abstractNum w:abstractNumId="79">
    <w:nsid w:val="14330624"/>
    <w:multiLevelType w:val="hybridMultilevel"/>
    <w:lvl w:ilvl="0">
      <w:lvlJc w:val="left"/>
      <w:lvlText w:val="(%1)"/>
      <w:numFmt w:val="decimal"/>
      <w:start w:val="4"/>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2026-04-20T05:18:53Z</dcterms:created>
  <dcterms:modified xsi:type="dcterms:W3CDTF">2026-04-20T05:18:53Z</dcterms:modified>
</cp:coreProperties>
</file>